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ascii="楷体" w:hAnsi="楷体" w:eastAsia="楷体"/>
          <w:b/>
          <w:color w:val="000000"/>
          <w:sz w:val="21"/>
          <w:szCs w:val="21"/>
        </w:rPr>
      </w:pPr>
      <w:r>
        <w:rPr>
          <w:rFonts w:hint="eastAsia" w:ascii="楷体" w:hAnsi="楷体" w:eastAsia="楷体"/>
          <w:b/>
          <w:color w:val="000000"/>
          <w:sz w:val="21"/>
          <w:szCs w:val="21"/>
        </w:rPr>
        <w:t>附件4</w:t>
      </w:r>
    </w:p>
    <w:p>
      <w:pPr>
        <w:keepNext w:val="0"/>
        <w:keepLines w:val="0"/>
        <w:pageBreakBefore w:val="0"/>
        <w:widowControl w:val="0"/>
        <w:kinsoku/>
        <w:wordWrap/>
        <w:overflowPunct/>
        <w:topLinePunct w:val="0"/>
        <w:autoSpaceDE/>
        <w:autoSpaceDN/>
        <w:bidi w:val="0"/>
        <w:adjustRightInd/>
        <w:snapToGrid/>
        <w:spacing w:line="360" w:lineRule="exact"/>
        <w:ind w:firstLine="720"/>
        <w:jc w:val="center"/>
        <w:textAlignment w:val="auto"/>
        <w:rPr>
          <w:rFonts w:ascii="华文仿宋" w:hAnsi="华文仿宋" w:eastAsia="华文仿宋"/>
          <w:color w:val="000000"/>
          <w:sz w:val="32"/>
          <w:szCs w:val="32"/>
        </w:rPr>
      </w:pPr>
      <w:r>
        <w:rPr>
          <w:rFonts w:hint="eastAsia" w:ascii="华文中宋" w:hAnsi="华文中宋" w:eastAsia="华文中宋"/>
          <w:color w:val="000000"/>
          <w:sz w:val="36"/>
          <w:szCs w:val="36"/>
        </w:rPr>
        <w:t>全国行业好新闻大赛参评作品推荐表</w:t>
      </w:r>
    </w:p>
    <w:tbl>
      <w:tblPr>
        <w:tblStyle w:val="3"/>
        <w:tblW w:w="962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6"/>
        <w:gridCol w:w="1489"/>
        <w:gridCol w:w="290"/>
        <w:gridCol w:w="1457"/>
        <w:gridCol w:w="396"/>
        <w:gridCol w:w="456"/>
        <w:gridCol w:w="530"/>
        <w:gridCol w:w="643"/>
        <w:gridCol w:w="578"/>
        <w:gridCol w:w="965"/>
        <w:gridCol w:w="471"/>
        <w:gridCol w:w="7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2" w:hRule="exact"/>
        </w:trPr>
        <w:tc>
          <w:tcPr>
            <w:tcW w:w="1566" w:type="dxa"/>
            <w:vAlign w:val="center"/>
          </w:tcPr>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eastAsia" w:ascii="华文中宋" w:hAnsi="华文中宋" w:eastAsia="华文中宋"/>
                <w:color w:val="000000"/>
                <w:sz w:val="24"/>
                <w:szCs w:val="24"/>
              </w:rPr>
            </w:pPr>
            <w:r>
              <w:rPr>
                <w:rFonts w:hint="eastAsia" w:ascii="华文中宋" w:hAnsi="华文中宋" w:eastAsia="华文中宋"/>
                <w:color w:val="000000"/>
                <w:sz w:val="24"/>
                <w:szCs w:val="24"/>
              </w:rPr>
              <w:t>作品</w:t>
            </w:r>
          </w:p>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ascii="华文中宋" w:hAnsi="华文中宋" w:eastAsia="华文中宋"/>
                <w:color w:val="000000"/>
                <w:sz w:val="28"/>
              </w:rPr>
            </w:pPr>
            <w:r>
              <w:rPr>
                <w:rFonts w:hint="eastAsia" w:ascii="华文中宋" w:hAnsi="华文中宋" w:eastAsia="华文中宋"/>
                <w:color w:val="000000"/>
                <w:sz w:val="24"/>
                <w:szCs w:val="24"/>
              </w:rPr>
              <w:t>标题</w:t>
            </w:r>
          </w:p>
        </w:tc>
        <w:tc>
          <w:tcPr>
            <w:tcW w:w="4088" w:type="dxa"/>
            <w:gridSpan w:val="5"/>
            <w:vAlign w:val="center"/>
          </w:tcPr>
          <w:p>
            <w:pPr>
              <w:spacing w:line="260" w:lineRule="exact"/>
              <w:jc w:val="center"/>
              <w:rPr>
                <w:rFonts w:hint="eastAsia" w:ascii="华文中宋" w:hAnsi="华文中宋" w:eastAsia="华文中宋"/>
                <w:color w:val="000000"/>
                <w:sz w:val="20"/>
                <w:szCs w:val="20"/>
                <w:lang w:eastAsia="zh-CN"/>
              </w:rPr>
            </w:pPr>
            <w:bookmarkStart w:id="0" w:name="_GoBack"/>
            <w:r>
              <w:rPr>
                <w:rFonts w:hint="default" w:ascii="宋体" w:hAnsi="宋体" w:cs="宋体"/>
                <w:b/>
                <w:bCs/>
                <w:color w:val="000000"/>
                <w:sz w:val="24"/>
                <w:szCs w:val="24"/>
                <w:lang w:val="en-US" w:eastAsia="zh-CN"/>
              </w:rPr>
              <w:t>“</w:t>
            </w:r>
            <w:r>
              <w:rPr>
                <w:rFonts w:hint="eastAsia" w:ascii="宋体" w:hAnsi="宋体" w:eastAsia="宋体" w:cs="宋体"/>
                <w:b/>
                <w:bCs/>
                <w:color w:val="000000"/>
                <w:sz w:val="24"/>
                <w:szCs w:val="24"/>
                <w:lang w:val="en-US" w:eastAsia="zh-CN"/>
              </w:rPr>
              <w:t>开窍</w:t>
            </w:r>
            <w:r>
              <w:rPr>
                <w:rFonts w:hint="default" w:ascii="宋体" w:hAnsi="宋体" w:cs="宋体"/>
                <w:b/>
                <w:bCs/>
                <w:color w:val="000000"/>
                <w:sz w:val="24"/>
                <w:szCs w:val="24"/>
                <w:lang w:val="en-US" w:eastAsia="zh-CN"/>
              </w:rPr>
              <w:t>”</w:t>
            </w:r>
            <w:r>
              <w:rPr>
                <w:rFonts w:hint="eastAsia" w:ascii="宋体" w:hAnsi="宋体" w:eastAsia="宋体" w:cs="宋体"/>
                <w:b/>
                <w:bCs/>
                <w:color w:val="000000"/>
                <w:sz w:val="24"/>
                <w:szCs w:val="24"/>
                <w:lang w:val="en-US" w:eastAsia="zh-CN"/>
              </w:rPr>
              <w:t>的MOF，拿下诺奖</w:t>
            </w:r>
            <w:bookmarkEnd w:id="0"/>
          </w:p>
        </w:tc>
        <w:tc>
          <w:tcPr>
            <w:tcW w:w="1173" w:type="dxa"/>
            <w:gridSpan w:val="2"/>
            <w:vAlign w:val="center"/>
          </w:tcPr>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eastAsia" w:ascii="华文中宋" w:hAnsi="华文中宋" w:eastAsia="华文中宋"/>
                <w:color w:val="000000"/>
                <w:sz w:val="24"/>
                <w:szCs w:val="24"/>
              </w:rPr>
            </w:pPr>
            <w:r>
              <w:rPr>
                <w:rFonts w:hint="eastAsia" w:ascii="华文中宋" w:hAnsi="华文中宋" w:eastAsia="华文中宋"/>
                <w:color w:val="000000"/>
                <w:sz w:val="24"/>
                <w:szCs w:val="24"/>
              </w:rPr>
              <w:t>参评</w:t>
            </w:r>
          </w:p>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ascii="华文中宋" w:hAnsi="华文中宋" w:eastAsia="华文中宋"/>
                <w:color w:val="000000"/>
                <w:sz w:val="20"/>
                <w:szCs w:val="20"/>
              </w:rPr>
            </w:pPr>
            <w:r>
              <w:rPr>
                <w:rFonts w:hint="eastAsia" w:ascii="华文中宋" w:hAnsi="华文中宋" w:eastAsia="华文中宋"/>
                <w:color w:val="000000"/>
                <w:sz w:val="24"/>
                <w:szCs w:val="24"/>
              </w:rPr>
              <w:t>项目</w:t>
            </w:r>
          </w:p>
        </w:tc>
        <w:tc>
          <w:tcPr>
            <w:tcW w:w="2797" w:type="dxa"/>
            <w:gridSpan w:val="4"/>
            <w:vAlign w:val="center"/>
          </w:tcPr>
          <w:p>
            <w:pPr>
              <w:jc w:val="center"/>
              <w:rPr>
                <w:rFonts w:hint="default" w:ascii="仿宋_GB2312" w:eastAsia="宋体"/>
                <w:color w:val="000000"/>
                <w:sz w:val="20"/>
                <w:szCs w:val="20"/>
                <w:lang w:val="en-US" w:eastAsia="zh-CN"/>
              </w:rPr>
            </w:pPr>
            <w:r>
              <w:rPr>
                <w:rFonts w:hint="eastAsia" w:ascii="宋体" w:hAnsi="宋体" w:cs="宋体"/>
                <w:b w:val="0"/>
                <w:bCs w:val="0"/>
                <w:color w:val="000000"/>
                <w:sz w:val="24"/>
                <w:szCs w:val="24"/>
                <w:lang w:val="en-US" w:eastAsia="zh-CN"/>
              </w:rPr>
              <w:t>通讯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4" w:hRule="exact"/>
        </w:trPr>
        <w:tc>
          <w:tcPr>
            <w:tcW w:w="1566" w:type="dxa"/>
            <w:vMerge w:val="restart"/>
            <w:vAlign w:val="center"/>
          </w:tcPr>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eastAsia" w:ascii="华文中宋" w:hAnsi="华文中宋" w:eastAsia="华文中宋"/>
                <w:color w:val="000000"/>
                <w:sz w:val="24"/>
                <w:szCs w:val="24"/>
                <w:lang w:val="en-US" w:eastAsia="zh-CN"/>
              </w:rPr>
            </w:pPr>
            <w:r>
              <w:rPr>
                <w:rFonts w:hint="eastAsia" w:ascii="华文中宋" w:hAnsi="华文中宋" w:eastAsia="华文中宋"/>
                <w:color w:val="000000"/>
                <w:sz w:val="24"/>
                <w:szCs w:val="24"/>
                <w:lang w:val="en-US" w:eastAsia="zh-CN"/>
              </w:rPr>
              <w:t>字数</w:t>
            </w:r>
          </w:p>
          <w:p>
            <w:pPr>
              <w:keepNext w:val="0"/>
              <w:keepLines w:val="0"/>
              <w:pageBreakBefore w:val="0"/>
              <w:widowControl w:val="0"/>
              <w:kinsoku/>
              <w:wordWrap/>
              <w:overflowPunct/>
              <w:topLinePunct w:val="0"/>
              <w:autoSpaceDE/>
              <w:autoSpaceDN/>
              <w:bidi w:val="0"/>
              <w:adjustRightInd/>
              <w:snapToGrid w:val="0"/>
              <w:spacing w:line="280" w:lineRule="exact"/>
              <w:jc w:val="center"/>
              <w:textAlignment w:val="auto"/>
              <w:rPr>
                <w:rFonts w:hint="default" w:ascii="华文中宋" w:hAnsi="华文中宋" w:eastAsia="华文中宋"/>
                <w:color w:val="000000"/>
                <w:sz w:val="28"/>
                <w:lang w:val="en-US" w:eastAsia="zh-CN"/>
              </w:rPr>
            </w:pPr>
            <w:r>
              <w:rPr>
                <w:rFonts w:hint="eastAsia" w:ascii="华文中宋" w:hAnsi="华文中宋" w:eastAsia="华文中宋"/>
                <w:color w:val="000000"/>
                <w:sz w:val="24"/>
                <w:szCs w:val="24"/>
                <w:lang w:val="en-US" w:eastAsia="zh-CN"/>
              </w:rPr>
              <w:t>时长</w:t>
            </w:r>
          </w:p>
        </w:tc>
        <w:tc>
          <w:tcPr>
            <w:tcW w:w="4088" w:type="dxa"/>
            <w:gridSpan w:val="5"/>
            <w:vMerge w:val="restart"/>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default" w:ascii="华文中宋" w:hAnsi="华文中宋" w:eastAsia="华文中宋"/>
                <w:color w:val="000000"/>
                <w:sz w:val="20"/>
                <w:szCs w:val="20"/>
                <w:lang w:val="en-US" w:eastAsia="zh-CN"/>
              </w:rPr>
            </w:pPr>
            <w:r>
              <w:rPr>
                <w:rFonts w:hint="eastAsia" w:ascii="宋体" w:hAnsi="宋体" w:cs="宋体"/>
                <w:b w:val="0"/>
                <w:bCs w:val="0"/>
                <w:color w:val="000000"/>
                <w:sz w:val="24"/>
                <w:szCs w:val="24"/>
                <w:lang w:val="en-US" w:eastAsia="zh-CN"/>
              </w:rPr>
              <w:t>3504字</w:t>
            </w:r>
          </w:p>
        </w:tc>
        <w:tc>
          <w:tcPr>
            <w:tcW w:w="1173" w:type="dxa"/>
            <w:gridSpan w:val="2"/>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华文中宋" w:hAnsi="华文中宋" w:eastAsia="华文中宋"/>
                <w:color w:val="000000"/>
                <w:sz w:val="24"/>
                <w:szCs w:val="24"/>
              </w:rPr>
            </w:pPr>
            <w:r>
              <w:rPr>
                <w:rFonts w:hint="eastAsia" w:ascii="华文中宋" w:hAnsi="华文中宋" w:eastAsia="华文中宋"/>
                <w:color w:val="000000"/>
                <w:sz w:val="24"/>
                <w:szCs w:val="24"/>
              </w:rPr>
              <w:t>体裁</w:t>
            </w:r>
          </w:p>
        </w:tc>
        <w:tc>
          <w:tcPr>
            <w:tcW w:w="2797" w:type="dxa"/>
            <w:gridSpan w:val="4"/>
            <w:vAlign w:val="center"/>
          </w:tcPr>
          <w:p>
            <w:pPr>
              <w:spacing w:line="260" w:lineRule="exact"/>
              <w:rPr>
                <w:rFonts w:hint="eastAsia" w:ascii="仿宋_GB2312" w:hAnsi="仿宋" w:eastAsia="宋体"/>
                <w:color w:val="000000"/>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4" w:hRule="exact"/>
        </w:trPr>
        <w:tc>
          <w:tcPr>
            <w:tcW w:w="1566"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ind w:firstLine="560"/>
              <w:jc w:val="center"/>
              <w:textAlignment w:val="auto"/>
              <w:rPr>
                <w:rFonts w:ascii="华文中宋" w:hAnsi="华文中宋" w:eastAsia="华文中宋"/>
                <w:color w:val="000000"/>
                <w:sz w:val="28"/>
              </w:rPr>
            </w:pPr>
          </w:p>
        </w:tc>
        <w:tc>
          <w:tcPr>
            <w:tcW w:w="4088" w:type="dxa"/>
            <w:gridSpan w:val="5"/>
            <w:vMerge w:val="continue"/>
            <w:vAlign w:val="center"/>
          </w:tcPr>
          <w:p>
            <w:pPr>
              <w:spacing w:line="380" w:lineRule="exact"/>
              <w:ind w:firstLine="560"/>
              <w:jc w:val="center"/>
              <w:rPr>
                <w:rFonts w:ascii="华文中宋" w:hAnsi="华文中宋" w:eastAsia="华文中宋"/>
                <w:color w:val="000000"/>
                <w:sz w:val="20"/>
                <w:szCs w:val="20"/>
              </w:rPr>
            </w:pPr>
          </w:p>
        </w:tc>
        <w:tc>
          <w:tcPr>
            <w:tcW w:w="1173" w:type="dxa"/>
            <w:gridSpan w:val="2"/>
            <w:vAlign w:val="center"/>
          </w:tcPr>
          <w:p>
            <w:pPr>
              <w:keepNext w:val="0"/>
              <w:keepLines w:val="0"/>
              <w:pageBreakBefore w:val="0"/>
              <w:widowControl w:val="0"/>
              <w:kinsoku/>
              <w:wordWrap/>
              <w:overflowPunct/>
              <w:topLinePunct w:val="0"/>
              <w:autoSpaceDE/>
              <w:autoSpaceDN/>
              <w:bidi w:val="0"/>
              <w:adjustRightInd/>
              <w:snapToGrid w:val="0"/>
              <w:spacing w:line="320" w:lineRule="exact"/>
              <w:jc w:val="center"/>
              <w:textAlignment w:val="auto"/>
              <w:rPr>
                <w:rFonts w:hint="eastAsia" w:ascii="华文中宋" w:hAnsi="华文中宋" w:eastAsia="华文中宋"/>
                <w:color w:val="000000"/>
                <w:sz w:val="24"/>
                <w:szCs w:val="24"/>
              </w:rPr>
            </w:pPr>
            <w:r>
              <w:rPr>
                <w:rFonts w:hint="eastAsia" w:ascii="华文中宋" w:hAnsi="华文中宋" w:eastAsia="华文中宋"/>
                <w:color w:val="000000"/>
                <w:sz w:val="24"/>
                <w:szCs w:val="24"/>
              </w:rPr>
              <w:t>语种</w:t>
            </w:r>
          </w:p>
        </w:tc>
        <w:tc>
          <w:tcPr>
            <w:tcW w:w="2797" w:type="dxa"/>
            <w:gridSpan w:val="4"/>
            <w:vAlign w:val="center"/>
          </w:tcPr>
          <w:p>
            <w:pPr>
              <w:spacing w:line="240" w:lineRule="atLeast"/>
              <w:jc w:val="center"/>
              <w:rPr>
                <w:rFonts w:hint="default" w:ascii="仿宋_GB2312" w:eastAsia="宋体"/>
                <w:color w:val="000000"/>
                <w:sz w:val="20"/>
                <w:szCs w:val="20"/>
                <w:lang w:val="en-US" w:eastAsia="zh-CN"/>
              </w:rPr>
            </w:pPr>
            <w:r>
              <w:rPr>
                <w:rFonts w:hint="eastAsia" w:ascii="仿宋_GB2312"/>
                <w:color w:val="000000"/>
                <w:sz w:val="24"/>
                <w:szCs w:val="24"/>
                <w:lang w:val="en-US" w:eastAsia="zh-CN"/>
              </w:rPr>
              <w:t>中文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1566" w:type="dxa"/>
            <w:vAlign w:val="center"/>
          </w:tcPr>
          <w:p>
            <w:pPr>
              <w:keepNext w:val="0"/>
              <w:keepLines w:val="0"/>
              <w:pageBreakBefore w:val="0"/>
              <w:widowControl w:val="0"/>
              <w:kinsoku/>
              <w:wordWrap/>
              <w:overflowPunct/>
              <w:topLinePunct w:val="0"/>
              <w:autoSpaceDE/>
              <w:autoSpaceDN/>
              <w:bidi w:val="0"/>
              <w:adjustRightInd/>
              <w:snapToGrid w:val="0"/>
              <w:spacing w:line="260" w:lineRule="exact"/>
              <w:jc w:val="center"/>
              <w:textAlignment w:val="auto"/>
              <w:rPr>
                <w:rFonts w:ascii="华文中宋" w:hAnsi="华文中宋" w:eastAsia="华文中宋"/>
                <w:color w:val="000000"/>
                <w:spacing w:val="-12"/>
                <w:sz w:val="28"/>
              </w:rPr>
            </w:pPr>
            <w:r>
              <w:rPr>
                <w:rFonts w:hint="eastAsia" w:ascii="华文中宋" w:hAnsi="华文中宋" w:eastAsia="华文中宋"/>
                <w:color w:val="000000"/>
                <w:spacing w:val="-12"/>
                <w:sz w:val="28"/>
              </w:rPr>
              <w:t>作者</w:t>
            </w:r>
          </w:p>
          <w:p>
            <w:pPr>
              <w:keepNext w:val="0"/>
              <w:keepLines w:val="0"/>
              <w:pageBreakBefore w:val="0"/>
              <w:widowControl w:val="0"/>
              <w:kinsoku/>
              <w:wordWrap/>
              <w:overflowPunct/>
              <w:topLinePunct w:val="0"/>
              <w:autoSpaceDE/>
              <w:autoSpaceDN/>
              <w:bidi w:val="0"/>
              <w:adjustRightInd/>
              <w:snapToGrid w:val="0"/>
              <w:spacing w:line="260" w:lineRule="exact"/>
              <w:jc w:val="center"/>
              <w:textAlignment w:val="auto"/>
              <w:rPr>
                <w:rFonts w:ascii="华文中宋" w:hAnsi="华文中宋" w:eastAsia="华文中宋"/>
                <w:color w:val="000000"/>
                <w:spacing w:val="-12"/>
                <w:sz w:val="24"/>
              </w:rPr>
            </w:pPr>
            <w:r>
              <w:rPr>
                <w:rFonts w:hint="eastAsia" w:ascii="华文中宋" w:hAnsi="华文中宋" w:eastAsia="华文中宋"/>
                <w:color w:val="000000"/>
                <w:spacing w:val="-12"/>
                <w:sz w:val="18"/>
                <w:szCs w:val="18"/>
              </w:rPr>
              <w:t>（主创人员）</w:t>
            </w:r>
          </w:p>
        </w:tc>
        <w:tc>
          <w:tcPr>
            <w:tcW w:w="4088" w:type="dxa"/>
            <w:gridSpan w:val="5"/>
            <w:vAlign w:val="center"/>
          </w:tcPr>
          <w:p>
            <w:pPr>
              <w:keepNext w:val="0"/>
              <w:keepLines w:val="0"/>
              <w:pageBreakBefore w:val="0"/>
              <w:widowControl w:val="0"/>
              <w:kinsoku/>
              <w:wordWrap/>
              <w:overflowPunct/>
              <w:topLinePunct w:val="0"/>
              <w:autoSpaceDE/>
              <w:autoSpaceDN/>
              <w:bidi w:val="0"/>
              <w:adjustRightInd/>
              <w:spacing w:line="260" w:lineRule="exact"/>
              <w:jc w:val="center"/>
              <w:textAlignment w:val="auto"/>
              <w:rPr>
                <w:rFonts w:hint="eastAsia" w:ascii="仿宋_GB2312" w:hAnsi="华文中宋" w:eastAsia="宋体"/>
                <w:color w:val="000000"/>
                <w:sz w:val="20"/>
                <w:szCs w:val="20"/>
                <w:lang w:val="en-US" w:eastAsia="zh-CN"/>
              </w:rPr>
            </w:pPr>
            <w:r>
              <w:rPr>
                <w:rFonts w:hint="eastAsia" w:ascii="宋体" w:hAnsi="宋体" w:cs="宋体"/>
                <w:b w:val="0"/>
                <w:bCs w:val="0"/>
                <w:color w:val="000000"/>
                <w:sz w:val="24"/>
                <w:szCs w:val="24"/>
                <w:lang w:val="en-US" w:eastAsia="zh-CN"/>
              </w:rPr>
              <w:t>赵欣婕 李东周 段昕仪</w:t>
            </w:r>
          </w:p>
        </w:tc>
        <w:tc>
          <w:tcPr>
            <w:tcW w:w="1173" w:type="dxa"/>
            <w:gridSpan w:val="2"/>
            <w:vAlign w:val="center"/>
          </w:tcPr>
          <w:p>
            <w:pPr>
              <w:keepNext w:val="0"/>
              <w:keepLines w:val="0"/>
              <w:pageBreakBefore w:val="0"/>
              <w:widowControl w:val="0"/>
              <w:kinsoku/>
              <w:wordWrap/>
              <w:overflowPunct/>
              <w:topLinePunct w:val="0"/>
              <w:autoSpaceDE/>
              <w:autoSpaceDN/>
              <w:bidi w:val="0"/>
              <w:adjustRightInd/>
              <w:spacing w:line="260" w:lineRule="exact"/>
              <w:jc w:val="center"/>
              <w:textAlignment w:val="auto"/>
              <w:rPr>
                <w:rFonts w:ascii="华文中宋" w:hAnsi="华文中宋" w:eastAsia="华文中宋"/>
                <w:color w:val="000000"/>
                <w:sz w:val="20"/>
                <w:szCs w:val="20"/>
              </w:rPr>
            </w:pPr>
            <w:r>
              <w:rPr>
                <w:rFonts w:hint="eastAsia" w:ascii="华文中宋" w:hAnsi="华文中宋" w:eastAsia="华文中宋"/>
                <w:color w:val="000000"/>
                <w:sz w:val="28"/>
              </w:rPr>
              <w:t>编辑</w:t>
            </w:r>
          </w:p>
        </w:tc>
        <w:tc>
          <w:tcPr>
            <w:tcW w:w="2797" w:type="dxa"/>
            <w:gridSpan w:val="4"/>
            <w:vAlign w:val="center"/>
          </w:tcPr>
          <w:p>
            <w:pPr>
              <w:keepNext w:val="0"/>
              <w:keepLines w:val="0"/>
              <w:pageBreakBefore w:val="0"/>
              <w:widowControl w:val="0"/>
              <w:kinsoku/>
              <w:wordWrap/>
              <w:overflowPunct/>
              <w:topLinePunct w:val="0"/>
              <w:autoSpaceDE/>
              <w:autoSpaceDN/>
              <w:bidi w:val="0"/>
              <w:adjustRightInd/>
              <w:spacing w:line="260" w:lineRule="exact"/>
              <w:jc w:val="center"/>
              <w:textAlignment w:val="auto"/>
              <w:rPr>
                <w:rFonts w:hint="eastAsia" w:ascii="仿宋" w:hAnsi="仿宋" w:eastAsia="仿宋"/>
                <w:color w:val="000000"/>
                <w:w w:val="95"/>
                <w:sz w:val="20"/>
                <w:szCs w:val="20"/>
                <w:lang w:eastAsia="zh-CN"/>
              </w:rPr>
            </w:pPr>
            <w:r>
              <w:rPr>
                <w:rFonts w:hint="eastAsia" w:ascii="宋体" w:hAnsi="宋体" w:cs="宋体"/>
                <w:b w:val="0"/>
                <w:bCs w:val="0"/>
                <w:color w:val="000000"/>
                <w:sz w:val="24"/>
                <w:szCs w:val="24"/>
                <w:lang w:val="en-US" w:eastAsia="zh-CN"/>
              </w:rPr>
              <w:t>赵若伊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rPr>
        <w:tc>
          <w:tcPr>
            <w:tcW w:w="1566" w:type="dxa"/>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华文中宋" w:hAnsi="华文中宋" w:eastAsia="华文中宋"/>
                <w:color w:val="000000"/>
                <w:sz w:val="28"/>
              </w:rPr>
            </w:pPr>
            <w:r>
              <w:rPr>
                <w:rFonts w:hint="eastAsia" w:ascii="华文中宋" w:hAnsi="华文中宋" w:eastAsia="华文中宋"/>
                <w:color w:val="000000"/>
                <w:sz w:val="28"/>
              </w:rPr>
              <w:t>原创</w:t>
            </w:r>
          </w:p>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ascii="华文中宋" w:hAnsi="华文中宋" w:eastAsia="华文中宋"/>
                <w:color w:val="000000"/>
                <w:sz w:val="28"/>
              </w:rPr>
            </w:pPr>
            <w:r>
              <w:rPr>
                <w:rFonts w:hint="eastAsia" w:ascii="华文中宋" w:hAnsi="华文中宋" w:eastAsia="华文中宋"/>
                <w:color w:val="000000"/>
                <w:sz w:val="28"/>
              </w:rPr>
              <w:t>单位</w:t>
            </w:r>
          </w:p>
        </w:tc>
        <w:tc>
          <w:tcPr>
            <w:tcW w:w="3236" w:type="dxa"/>
            <w:gridSpan w:val="3"/>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eastAsia" w:ascii="仿宋_GB2312" w:hAnsi="仿宋" w:eastAsia="宋体"/>
                <w:color w:val="000000"/>
                <w:szCs w:val="21"/>
                <w:lang w:eastAsia="zh-CN"/>
              </w:rPr>
            </w:pPr>
            <w:r>
              <w:rPr>
                <w:rFonts w:hint="eastAsia" w:ascii="宋体" w:hAnsi="宋体" w:cs="宋体"/>
                <w:b w:val="0"/>
                <w:bCs w:val="0"/>
                <w:color w:val="000000"/>
                <w:sz w:val="24"/>
                <w:szCs w:val="24"/>
                <w:lang w:val="en-US" w:eastAsia="zh-CN"/>
              </w:rPr>
              <w:t>《中国化工报》社有限公司</w:t>
            </w:r>
          </w:p>
        </w:tc>
        <w:tc>
          <w:tcPr>
            <w:tcW w:w="2025" w:type="dxa"/>
            <w:gridSpan w:val="4"/>
            <w:vAlign w:val="center"/>
          </w:tcPr>
          <w:p>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华文中宋" w:hAnsi="华文中宋" w:eastAsia="华文中宋"/>
                <w:color w:val="000000"/>
                <w:sz w:val="28"/>
              </w:rPr>
            </w:pPr>
            <w:r>
              <w:rPr>
                <w:rFonts w:hint="eastAsia" w:ascii="华文中宋" w:hAnsi="华文中宋" w:eastAsia="华文中宋"/>
                <w:color w:val="000000"/>
                <w:sz w:val="28"/>
              </w:rPr>
              <w:t>发布端/账号/</w:t>
            </w:r>
          </w:p>
          <w:p>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ascii="华文中宋" w:hAnsi="华文中宋" w:eastAsia="华文中宋"/>
                <w:color w:val="000000"/>
                <w:sz w:val="28"/>
              </w:rPr>
            </w:pPr>
            <w:r>
              <w:rPr>
                <w:rFonts w:hint="eastAsia" w:ascii="华文中宋" w:hAnsi="华文中宋" w:eastAsia="华文中宋"/>
                <w:color w:val="000000"/>
                <w:sz w:val="28"/>
              </w:rPr>
              <w:t>媒体名称</w:t>
            </w:r>
          </w:p>
        </w:tc>
        <w:tc>
          <w:tcPr>
            <w:tcW w:w="2797" w:type="dxa"/>
            <w:gridSpan w:val="4"/>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仿宋_GB2312" w:hAnsi="仿宋" w:eastAsia="宋体"/>
                <w:color w:val="000000"/>
                <w:sz w:val="18"/>
                <w:szCs w:val="18"/>
                <w:highlight w:val="green"/>
                <w:lang w:eastAsia="zh-CN"/>
              </w:rPr>
            </w:pPr>
            <w:r>
              <w:rPr>
                <w:rFonts w:hint="eastAsia" w:ascii="宋体" w:hAnsi="宋体" w:cs="宋体"/>
                <w:b w:val="0"/>
                <w:bCs w:val="0"/>
                <w:color w:val="000000"/>
                <w:sz w:val="24"/>
                <w:szCs w:val="24"/>
                <w:lang w:val="en-US" w:eastAsia="zh-CN"/>
              </w:rPr>
              <w:t>《中国化工报》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exact"/>
        </w:trPr>
        <w:tc>
          <w:tcPr>
            <w:tcW w:w="1566" w:type="dxa"/>
            <w:vAlign w:val="center"/>
          </w:tcPr>
          <w:p>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rFonts w:hint="eastAsia" w:ascii="华文中宋" w:hAnsi="华文中宋" w:eastAsia="华文中宋"/>
                <w:color w:val="000000"/>
                <w:sz w:val="28"/>
              </w:rPr>
            </w:pPr>
            <w:r>
              <w:rPr>
                <w:rFonts w:hint="eastAsia" w:ascii="华文中宋" w:hAnsi="华文中宋" w:eastAsia="华文中宋"/>
                <w:color w:val="000000"/>
                <w:sz w:val="28"/>
              </w:rPr>
              <w:t>刊播版面</w:t>
            </w:r>
          </w:p>
          <w:p>
            <w:pPr>
              <w:keepNext w:val="0"/>
              <w:keepLines w:val="0"/>
              <w:pageBreakBefore w:val="0"/>
              <w:widowControl w:val="0"/>
              <w:kinsoku/>
              <w:wordWrap/>
              <w:overflowPunct/>
              <w:topLinePunct w:val="0"/>
              <w:autoSpaceDE/>
              <w:autoSpaceDN/>
              <w:bidi w:val="0"/>
              <w:adjustRightInd/>
              <w:snapToGrid w:val="0"/>
              <w:spacing w:line="240" w:lineRule="exact"/>
              <w:jc w:val="center"/>
              <w:textAlignment w:val="auto"/>
              <w:rPr>
                <w:rFonts w:ascii="华文中宋" w:hAnsi="华文中宋" w:eastAsia="华文中宋"/>
                <w:color w:val="000000"/>
                <w:sz w:val="28"/>
              </w:rPr>
            </w:pPr>
            <w:r>
              <w:rPr>
                <w:rFonts w:hint="eastAsia" w:ascii="华文中宋" w:hAnsi="华文中宋" w:eastAsia="华文中宋"/>
                <w:color w:val="000000"/>
                <w:spacing w:val="-12"/>
                <w:sz w:val="18"/>
                <w:szCs w:val="18"/>
                <w:lang w:eastAsia="zh-CN"/>
              </w:rPr>
              <w:t>（</w:t>
            </w:r>
            <w:r>
              <w:rPr>
                <w:rFonts w:hint="eastAsia" w:ascii="华文中宋" w:hAnsi="华文中宋" w:eastAsia="华文中宋"/>
                <w:color w:val="000000"/>
                <w:spacing w:val="-12"/>
                <w:sz w:val="18"/>
                <w:szCs w:val="18"/>
              </w:rPr>
              <w:t>名称和版次</w:t>
            </w:r>
            <w:r>
              <w:rPr>
                <w:rFonts w:hint="eastAsia" w:ascii="华文中宋" w:hAnsi="华文中宋" w:eastAsia="华文中宋"/>
                <w:color w:val="000000"/>
                <w:spacing w:val="-12"/>
                <w:sz w:val="18"/>
                <w:szCs w:val="18"/>
                <w:lang w:eastAsia="zh-CN"/>
              </w:rPr>
              <w:t>）</w:t>
            </w:r>
          </w:p>
        </w:tc>
        <w:tc>
          <w:tcPr>
            <w:tcW w:w="3236" w:type="dxa"/>
            <w:gridSpan w:val="3"/>
            <w:vAlign w:val="center"/>
          </w:tcPr>
          <w:p>
            <w:pPr>
              <w:spacing w:line="260" w:lineRule="exact"/>
              <w:jc w:val="center"/>
              <w:rPr>
                <w:rFonts w:hint="default" w:ascii="仿宋_GB2312" w:hAnsi="仿宋" w:eastAsia="宋体"/>
                <w:color w:val="000000"/>
                <w:szCs w:val="21"/>
                <w:lang w:val="en-US" w:eastAsia="zh-CN"/>
              </w:rPr>
            </w:pPr>
            <w:r>
              <w:rPr>
                <w:rFonts w:hint="eastAsia" w:ascii="宋体" w:hAnsi="宋体" w:cs="宋体"/>
                <w:b w:val="0"/>
                <w:bCs w:val="0"/>
                <w:color w:val="000000"/>
                <w:sz w:val="24"/>
                <w:szCs w:val="24"/>
                <w:lang w:val="en-US" w:eastAsia="zh-CN"/>
              </w:rPr>
              <w:t>能源与材料综合要闻（5版）</w:t>
            </w:r>
          </w:p>
        </w:tc>
        <w:tc>
          <w:tcPr>
            <w:tcW w:w="2025" w:type="dxa"/>
            <w:gridSpan w:val="4"/>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华文中宋" w:hAnsi="华文中宋" w:eastAsia="华文中宋"/>
                <w:color w:val="000000"/>
                <w:sz w:val="28"/>
              </w:rPr>
            </w:pPr>
            <w:r>
              <w:rPr>
                <w:rFonts w:hint="eastAsia" w:ascii="华文中宋" w:hAnsi="华文中宋" w:eastAsia="华文中宋"/>
                <w:color w:val="000000"/>
                <w:sz w:val="28"/>
              </w:rPr>
              <w:t>刊播</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华文中宋" w:hAnsi="华文中宋" w:eastAsia="华文中宋"/>
                <w:color w:val="000000"/>
                <w:sz w:val="28"/>
              </w:rPr>
            </w:pPr>
            <w:r>
              <w:rPr>
                <w:rFonts w:hint="eastAsia" w:ascii="华文中宋" w:hAnsi="华文中宋" w:eastAsia="华文中宋"/>
                <w:color w:val="000000"/>
                <w:sz w:val="28"/>
              </w:rPr>
              <w:t>日期</w:t>
            </w:r>
          </w:p>
        </w:tc>
        <w:tc>
          <w:tcPr>
            <w:tcW w:w="2797" w:type="dxa"/>
            <w:gridSpan w:val="4"/>
            <w:vAlign w:val="center"/>
          </w:tcPr>
          <w:p>
            <w:pPr>
              <w:spacing w:line="260" w:lineRule="exact"/>
              <w:jc w:val="center"/>
              <w:rPr>
                <w:rFonts w:hint="default" w:ascii="仿宋_GB2312" w:hAnsi="仿宋" w:eastAsia="宋体"/>
                <w:color w:val="000000"/>
                <w:szCs w:val="21"/>
                <w:lang w:val="en-US" w:eastAsia="zh-CN"/>
              </w:rPr>
            </w:pPr>
            <w:r>
              <w:rPr>
                <w:rFonts w:hint="eastAsia" w:ascii="宋体" w:hAnsi="宋体" w:cs="宋体"/>
                <w:b w:val="0"/>
                <w:bCs w:val="0"/>
                <w:color w:val="000000"/>
                <w:sz w:val="24"/>
                <w:szCs w:val="24"/>
                <w:lang w:val="en-US" w:eastAsia="zh-CN"/>
              </w:rPr>
              <w:t>2025年11月4日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1" w:hRule="exact"/>
        </w:trPr>
        <w:tc>
          <w:tcPr>
            <w:tcW w:w="1566"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仿宋_GB2312" w:hAnsi="仿宋"/>
                <w:color w:val="000000"/>
                <w:szCs w:val="21"/>
              </w:rPr>
            </w:pPr>
            <w:r>
              <w:rPr>
                <w:rFonts w:hint="eastAsia" w:ascii="华文中宋" w:hAnsi="华文中宋" w:eastAsia="华文中宋"/>
                <w:color w:val="000000"/>
                <w:sz w:val="24"/>
                <w:szCs w:val="24"/>
              </w:rPr>
              <w:t>新媒体</w:t>
            </w:r>
            <w:r>
              <w:rPr>
                <w:rFonts w:hint="eastAsia" w:ascii="华文中宋" w:hAnsi="华文中宋" w:eastAsia="华文中宋"/>
                <w:color w:val="000000"/>
                <w:sz w:val="24"/>
                <w:szCs w:val="24"/>
                <w:lang w:val="en-US" w:eastAsia="zh-CN"/>
              </w:rPr>
              <w:t>作</w:t>
            </w:r>
            <w:r>
              <w:rPr>
                <w:rFonts w:hint="eastAsia" w:ascii="华文中宋" w:hAnsi="华文中宋" w:eastAsia="华文中宋"/>
                <w:color w:val="000000"/>
                <w:sz w:val="24"/>
                <w:szCs w:val="24"/>
              </w:rPr>
              <w:t>品网址</w:t>
            </w:r>
          </w:p>
        </w:tc>
        <w:tc>
          <w:tcPr>
            <w:tcW w:w="5261" w:type="dxa"/>
            <w:gridSpan w:val="7"/>
            <w:vAlign w:val="center"/>
          </w:tcPr>
          <w:p>
            <w:pPr>
              <w:spacing w:line="260" w:lineRule="exact"/>
              <w:rPr>
                <w:rFonts w:hint="eastAsia" w:ascii="仿宋" w:hAnsi="仿宋" w:eastAsia="仿宋" w:cs="仿宋"/>
                <w:color w:val="000000"/>
                <w:sz w:val="20"/>
                <w:szCs w:val="20"/>
              </w:rPr>
            </w:pPr>
            <w:r>
              <w:rPr>
                <w:rFonts w:hint="eastAsia" w:ascii="仿宋" w:hAnsi="仿宋" w:eastAsia="仿宋" w:cs="仿宋"/>
                <w:color w:val="000000"/>
                <w:sz w:val="18"/>
                <w:szCs w:val="18"/>
              </w:rPr>
              <w:fldChar w:fldCharType="begin"/>
            </w:r>
            <w:r>
              <w:rPr>
                <w:rFonts w:hint="eastAsia" w:ascii="仿宋" w:hAnsi="仿宋" w:eastAsia="仿宋" w:cs="仿宋"/>
                <w:color w:val="000000"/>
                <w:sz w:val="18"/>
                <w:szCs w:val="18"/>
              </w:rPr>
              <w:instrText xml:space="preserve"> HYPERLINK "http://www.ccin.com.cn/detail/57303ab28dcaacd52757c062645e171d/news" </w:instrText>
            </w:r>
            <w:r>
              <w:rPr>
                <w:rFonts w:hint="eastAsia" w:ascii="仿宋" w:hAnsi="仿宋" w:eastAsia="仿宋" w:cs="仿宋"/>
                <w:color w:val="000000"/>
                <w:sz w:val="18"/>
                <w:szCs w:val="18"/>
              </w:rPr>
              <w:fldChar w:fldCharType="separate"/>
            </w:r>
            <w:r>
              <w:rPr>
                <w:rStyle w:val="6"/>
                <w:rFonts w:hint="eastAsia" w:ascii="仿宋" w:hAnsi="仿宋" w:eastAsia="仿宋" w:cs="仿宋"/>
                <w:color w:val="000000"/>
                <w:sz w:val="18"/>
                <w:szCs w:val="18"/>
              </w:rPr>
              <w:t>http://www.ccin.com.cn/detail/57303ab28dcaacd52757c062645e171d/news</w:t>
            </w:r>
            <w:r>
              <w:rPr>
                <w:rFonts w:hint="eastAsia" w:ascii="仿宋" w:hAnsi="仿宋" w:eastAsia="仿宋" w:cs="仿宋"/>
                <w:color w:val="000000"/>
                <w:sz w:val="18"/>
                <w:szCs w:val="18"/>
              </w:rPr>
              <w:fldChar w:fldCharType="end"/>
            </w:r>
          </w:p>
        </w:tc>
        <w:tc>
          <w:tcPr>
            <w:tcW w:w="2014"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华文中宋" w:hAnsi="华文中宋" w:eastAsia="华文中宋"/>
                <w:color w:val="000000"/>
                <w:sz w:val="24"/>
                <w:szCs w:val="24"/>
              </w:rPr>
            </w:pPr>
            <w:r>
              <w:rPr>
                <w:rFonts w:hint="eastAsia" w:ascii="华文中宋" w:hAnsi="华文中宋" w:eastAsia="华文中宋"/>
                <w:color w:val="000000"/>
                <w:sz w:val="24"/>
                <w:szCs w:val="24"/>
              </w:rPr>
              <w:t>是否为</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华文中宋" w:hAnsi="华文中宋" w:eastAsia="华文中宋"/>
                <w:color w:val="000000"/>
                <w:sz w:val="28"/>
              </w:rPr>
            </w:pPr>
            <w:r>
              <w:rPr>
                <w:rFonts w:hint="eastAsia" w:ascii="华文中宋" w:hAnsi="华文中宋" w:eastAsia="华文中宋"/>
                <w:color w:val="000000"/>
                <w:sz w:val="24"/>
                <w:szCs w:val="24"/>
              </w:rPr>
              <w:t>“三好作品”</w:t>
            </w:r>
          </w:p>
        </w:tc>
        <w:tc>
          <w:tcPr>
            <w:tcW w:w="783" w:type="dxa"/>
            <w:vAlign w:val="center"/>
          </w:tcPr>
          <w:p>
            <w:pPr>
              <w:spacing w:line="260" w:lineRule="exact"/>
              <w:jc w:val="center"/>
              <w:rPr>
                <w:rFonts w:hint="eastAsia" w:ascii="华文中宋" w:hAnsi="华文中宋" w:eastAsia="华文中宋"/>
                <w:color w:val="000000"/>
                <w:sz w:val="28"/>
                <w:lang w:eastAsia="zh-CN"/>
              </w:rPr>
            </w:pPr>
            <w:r>
              <w:rPr>
                <w:rFonts w:hint="eastAsia" w:ascii="仿宋" w:hAnsi="仿宋" w:eastAsia="仿宋" w:cs="仿宋"/>
                <w:color w:val="000000"/>
                <w:sz w:val="24"/>
                <w:szCs w:val="24"/>
                <w:lang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35" w:hRule="atLeast"/>
        </w:trPr>
        <w:tc>
          <w:tcPr>
            <w:tcW w:w="1566" w:type="dxa"/>
            <w:vAlign w:val="center"/>
          </w:tcPr>
          <w:p>
            <w:pPr>
              <w:spacing w:line="340" w:lineRule="exact"/>
              <w:jc w:val="center"/>
              <w:rPr>
                <w:rFonts w:ascii="华文中宋" w:hAnsi="华文中宋" w:eastAsia="华文中宋"/>
                <w:color w:val="000000"/>
                <w:sz w:val="28"/>
              </w:rPr>
            </w:pPr>
            <w:r>
              <w:rPr>
                <w:rFonts w:hint="eastAsia" w:ascii="华文中宋" w:hAnsi="华文中宋" w:eastAsia="华文中宋"/>
                <w:color w:val="000000"/>
                <w:sz w:val="28"/>
              </w:rPr>
              <w:t xml:space="preserve">  ︵</w:t>
            </w:r>
          </w:p>
          <w:p>
            <w:pPr>
              <w:spacing w:line="340" w:lineRule="exact"/>
              <w:jc w:val="center"/>
              <w:rPr>
                <w:rFonts w:ascii="华文中宋" w:hAnsi="华文中宋" w:eastAsia="华文中宋"/>
                <w:color w:val="000000"/>
                <w:sz w:val="28"/>
              </w:rPr>
            </w:pPr>
            <w:r>
              <w:rPr>
                <w:rFonts w:hint="eastAsia" w:ascii="华文中宋" w:hAnsi="华文中宋" w:eastAsia="华文中宋"/>
                <w:color w:val="000000"/>
                <w:sz w:val="28"/>
              </w:rPr>
              <w:t>作采</w:t>
            </w:r>
          </w:p>
          <w:p>
            <w:pPr>
              <w:spacing w:line="340" w:lineRule="exact"/>
              <w:jc w:val="center"/>
              <w:rPr>
                <w:rFonts w:ascii="华文中宋" w:hAnsi="华文中宋" w:eastAsia="华文中宋"/>
                <w:color w:val="000000"/>
                <w:sz w:val="28"/>
              </w:rPr>
            </w:pPr>
            <w:r>
              <w:rPr>
                <w:rFonts w:hint="eastAsia" w:ascii="华文中宋" w:hAnsi="华文中宋" w:eastAsia="华文中宋"/>
                <w:color w:val="000000"/>
                <w:sz w:val="28"/>
              </w:rPr>
              <w:t>品编</w:t>
            </w:r>
          </w:p>
          <w:p>
            <w:pPr>
              <w:spacing w:line="340" w:lineRule="exact"/>
              <w:jc w:val="center"/>
              <w:rPr>
                <w:rFonts w:ascii="华文中宋" w:hAnsi="华文中宋" w:eastAsia="华文中宋"/>
                <w:color w:val="000000"/>
                <w:sz w:val="28"/>
              </w:rPr>
            </w:pPr>
            <w:r>
              <w:rPr>
                <w:rFonts w:hint="eastAsia" w:ascii="华文中宋" w:hAnsi="华文中宋" w:eastAsia="华文中宋"/>
                <w:color w:val="000000"/>
                <w:sz w:val="28"/>
              </w:rPr>
              <w:t>简过</w:t>
            </w:r>
          </w:p>
          <w:p>
            <w:pPr>
              <w:spacing w:line="340" w:lineRule="exact"/>
              <w:jc w:val="center"/>
              <w:rPr>
                <w:rFonts w:ascii="华文中宋" w:hAnsi="华文中宋" w:eastAsia="华文中宋"/>
                <w:color w:val="000000"/>
                <w:sz w:val="28"/>
              </w:rPr>
            </w:pPr>
            <w:r>
              <w:rPr>
                <w:rFonts w:hint="eastAsia" w:ascii="华文中宋" w:hAnsi="华文中宋" w:eastAsia="华文中宋"/>
                <w:color w:val="000000"/>
                <w:sz w:val="28"/>
              </w:rPr>
              <w:t>介程</w:t>
            </w:r>
          </w:p>
          <w:p>
            <w:pPr>
              <w:spacing w:line="340" w:lineRule="exact"/>
              <w:jc w:val="center"/>
              <w:rPr>
                <w:rFonts w:ascii="华文中宋" w:hAnsi="华文中宋" w:eastAsia="华文中宋"/>
                <w:color w:val="000000"/>
                <w:sz w:val="28"/>
              </w:rPr>
            </w:pPr>
            <w:r>
              <w:rPr>
                <w:rFonts w:hint="eastAsia" w:ascii="华文中宋" w:hAnsi="华文中宋" w:eastAsia="华文中宋"/>
                <w:color w:val="000000"/>
                <w:sz w:val="28"/>
              </w:rPr>
              <w:t xml:space="preserve">  ︶</w:t>
            </w:r>
          </w:p>
        </w:tc>
        <w:tc>
          <w:tcPr>
            <w:tcW w:w="8058" w:type="dxa"/>
            <w:gridSpan w:val="11"/>
            <w:vAlign w:val="center"/>
          </w:tcPr>
          <w:p>
            <w:pPr>
              <w:ind w:firstLine="480" w:firstLineChars="200"/>
              <w:rPr>
                <w:rFonts w:hint="eastAsia" w:ascii="宋体" w:hAnsi="宋体" w:cs="宋体"/>
                <w:b w:val="0"/>
                <w:bCs w:val="0"/>
                <w:color w:val="000000"/>
                <w:sz w:val="24"/>
                <w:szCs w:val="24"/>
                <w:lang w:val="en-US" w:eastAsia="zh-CN"/>
              </w:rPr>
            </w:pPr>
            <w:r>
              <w:rPr>
                <w:rFonts w:hint="eastAsia" w:ascii="宋体" w:hAnsi="宋体" w:cs="宋体"/>
                <w:b w:val="0"/>
                <w:bCs w:val="0"/>
                <w:color w:val="000000"/>
                <w:sz w:val="24"/>
                <w:szCs w:val="24"/>
                <w:lang w:val="en-US" w:eastAsia="zh-CN"/>
              </w:rPr>
              <w:t>2025年诺贝尔化学奖揭晓后，专业词汇MOF破圈走红。记者凭借多年深耕经验迅速锁定选题，辗转采访到吴骊珠院士——这也是吴院士针对MOF唯一一次接受采访；同时与产业一线企业家、行业协会负责人及知名投资机构对话，在“科学—产业—政策—资本”四维权威信源基础上撰成此篇。</w:t>
            </w:r>
          </w:p>
          <w:p>
            <w:pPr>
              <w:ind w:firstLine="480" w:firstLineChars="200"/>
              <w:rPr>
                <w:rFonts w:hint="eastAsia" w:ascii="宋体" w:hAnsi="宋体" w:cs="宋体"/>
                <w:b w:val="0"/>
                <w:bCs w:val="0"/>
                <w:color w:val="000000"/>
                <w:sz w:val="24"/>
                <w:szCs w:val="24"/>
                <w:lang w:val="en-US" w:eastAsia="zh-CN"/>
              </w:rPr>
            </w:pPr>
            <w:r>
              <w:rPr>
                <w:rFonts w:hint="eastAsia" w:ascii="宋体" w:hAnsi="宋体" w:cs="宋体"/>
                <w:b w:val="0"/>
                <w:bCs w:val="0"/>
                <w:color w:val="000000"/>
                <w:sz w:val="24"/>
                <w:szCs w:val="24"/>
                <w:lang w:val="en-US" w:eastAsia="zh-CN"/>
              </w:rPr>
              <w:t>该报道结合MOF多孔特性，巧妙地以“开窍”为喻，一语双关，构建了“材料—产业—生态”三层递进结构，并以此为“明线”，清晰呈现了MOF的科学价值、产业化瓶颈与中国机遇；同时，在每部分引入批评与质疑形成“暗线”，体现了报道的客观性。文章语言生动形象、深入浅出，兼具专业性与可读性。配发手记《“热关注”与“冷思考”》更是点睛之笔，体现了较强的思辨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1566" w:type="dxa"/>
            <w:vAlign w:val="center"/>
          </w:tcPr>
          <w:p>
            <w:pPr>
              <w:spacing w:line="380" w:lineRule="exact"/>
              <w:jc w:val="center"/>
              <w:rPr>
                <w:rFonts w:ascii="华文中宋" w:hAnsi="华文中宋" w:eastAsia="华文中宋"/>
                <w:color w:val="000000"/>
                <w:sz w:val="28"/>
              </w:rPr>
            </w:pPr>
            <w:r>
              <w:rPr>
                <w:rFonts w:hint="eastAsia" w:ascii="华文中宋" w:hAnsi="华文中宋" w:eastAsia="华文中宋"/>
                <w:color w:val="000000"/>
                <w:sz w:val="28"/>
              </w:rPr>
              <w:t>社</w:t>
            </w:r>
          </w:p>
          <w:p>
            <w:pPr>
              <w:spacing w:line="380" w:lineRule="exact"/>
              <w:jc w:val="center"/>
              <w:rPr>
                <w:rFonts w:ascii="华文中宋" w:hAnsi="华文中宋" w:eastAsia="华文中宋"/>
                <w:color w:val="000000"/>
                <w:sz w:val="28"/>
              </w:rPr>
            </w:pPr>
            <w:r>
              <w:rPr>
                <w:rFonts w:hint="eastAsia" w:ascii="华文中宋" w:hAnsi="华文中宋" w:eastAsia="华文中宋"/>
                <w:color w:val="000000"/>
                <w:sz w:val="28"/>
              </w:rPr>
              <w:t>会</w:t>
            </w:r>
          </w:p>
          <w:p>
            <w:pPr>
              <w:spacing w:line="380" w:lineRule="exact"/>
              <w:jc w:val="center"/>
              <w:rPr>
                <w:rFonts w:ascii="华文中宋" w:hAnsi="华文中宋" w:eastAsia="华文中宋"/>
                <w:color w:val="000000"/>
                <w:sz w:val="28"/>
              </w:rPr>
            </w:pPr>
            <w:r>
              <w:rPr>
                <w:rFonts w:hint="eastAsia" w:ascii="华文中宋" w:hAnsi="华文中宋" w:eastAsia="华文中宋"/>
                <w:color w:val="000000"/>
                <w:sz w:val="28"/>
              </w:rPr>
              <w:t>效</w:t>
            </w:r>
          </w:p>
          <w:p>
            <w:pPr>
              <w:spacing w:line="380" w:lineRule="exact"/>
              <w:jc w:val="center"/>
              <w:rPr>
                <w:rFonts w:ascii="华文中宋" w:hAnsi="华文中宋" w:eastAsia="华文中宋"/>
                <w:color w:val="000000"/>
                <w:sz w:val="28"/>
              </w:rPr>
            </w:pPr>
            <w:r>
              <w:rPr>
                <w:rFonts w:hint="eastAsia" w:ascii="华文中宋" w:hAnsi="华文中宋" w:eastAsia="华文中宋"/>
                <w:color w:val="000000"/>
                <w:sz w:val="28"/>
              </w:rPr>
              <w:t>果</w:t>
            </w:r>
          </w:p>
        </w:tc>
        <w:tc>
          <w:tcPr>
            <w:tcW w:w="8058" w:type="dxa"/>
            <w:gridSpan w:val="11"/>
            <w:vAlign w:val="center"/>
          </w:tcPr>
          <w:p>
            <w:pPr>
              <w:ind w:firstLine="480" w:firstLineChars="200"/>
              <w:rPr>
                <w:rFonts w:hint="eastAsia" w:ascii="宋体" w:hAnsi="宋体" w:cs="宋体"/>
                <w:b w:val="0"/>
                <w:bCs w:val="0"/>
                <w:color w:val="000000"/>
                <w:sz w:val="24"/>
                <w:szCs w:val="24"/>
                <w:lang w:val="en-US" w:eastAsia="zh-CN"/>
              </w:rPr>
            </w:pPr>
            <w:r>
              <w:rPr>
                <w:rFonts w:hint="eastAsia" w:ascii="宋体" w:hAnsi="宋体" w:cs="宋体"/>
                <w:b w:val="0"/>
                <w:bCs w:val="0"/>
                <w:color w:val="000000"/>
                <w:sz w:val="24"/>
                <w:szCs w:val="24"/>
                <w:lang w:val="en-US" w:eastAsia="zh-CN"/>
              </w:rPr>
              <w:t>作为2025年诺贝尔化学奖极少数深度报道之一，这篇文章以其深入浅出的科普技巧、鲜明的产业特色和权威的信源配置，在石油和化工学术界、产业界乃至公众层面引发广泛关注。报社官网、官微点击量超过60万。文章被著名行业数据平台——煤炭行业知识服务平台收录，中科院理化所等单位官网全文转载。</w:t>
            </w:r>
          </w:p>
          <w:p>
            <w:pPr>
              <w:ind w:firstLine="480" w:firstLineChars="200"/>
              <w:rPr>
                <w:rFonts w:hint="eastAsia" w:ascii="宋体" w:hAnsi="宋体" w:cs="宋体"/>
                <w:b w:val="0"/>
                <w:bCs w:val="0"/>
                <w:color w:val="000000"/>
                <w:sz w:val="24"/>
                <w:szCs w:val="24"/>
                <w:lang w:val="en-US" w:eastAsia="zh-CN"/>
              </w:rPr>
            </w:pPr>
            <w:r>
              <w:rPr>
                <w:rFonts w:hint="eastAsia" w:ascii="宋体" w:hAnsi="宋体" w:cs="宋体"/>
                <w:b w:val="0"/>
                <w:bCs w:val="0"/>
                <w:color w:val="000000"/>
                <w:sz w:val="24"/>
                <w:szCs w:val="24"/>
                <w:lang w:val="en-US" w:eastAsia="zh-CN"/>
              </w:rPr>
              <w:t>值得一提的是，这是业界权威吴骊珠院士针对MOF唯一一次接受采访。吴院士作为国家自然科学基金委副主任，其观点在业界极具影响力和导向性，本文因此在相关科研微信群中广泛转发。另外，本文作者曾独家报道文中企业蓝廷新能源国内首次实现MOF产业化的案例，并被业界广泛引用。因此报道刊发后，许多业内人士联系作者，咨询相关产业动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6" w:hRule="atLeast"/>
        </w:trPr>
        <w:tc>
          <w:tcPr>
            <w:tcW w:w="1566" w:type="dxa"/>
            <w:vMerge w:val="restart"/>
            <w:vAlign w:val="center"/>
          </w:tcPr>
          <w:p>
            <w:pPr>
              <w:spacing w:line="380" w:lineRule="exact"/>
              <w:jc w:val="center"/>
              <w:rPr>
                <w:rFonts w:hint="eastAsia" w:ascii="华文中宋" w:hAnsi="华文中宋" w:eastAsia="华文中宋"/>
                <w:color w:val="000000"/>
                <w:sz w:val="28"/>
              </w:rPr>
            </w:pPr>
            <w:r>
              <w:rPr>
                <w:rFonts w:hint="eastAsia" w:ascii="华文中宋" w:hAnsi="华文中宋" w:eastAsia="华文中宋"/>
                <w:color w:val="000000"/>
                <w:sz w:val="28"/>
              </w:rPr>
              <w:t>传</w:t>
            </w:r>
          </w:p>
          <w:p>
            <w:pPr>
              <w:spacing w:line="380" w:lineRule="exact"/>
              <w:jc w:val="center"/>
              <w:rPr>
                <w:rFonts w:hint="eastAsia" w:ascii="华文中宋" w:hAnsi="华文中宋" w:eastAsia="华文中宋"/>
                <w:color w:val="000000"/>
                <w:sz w:val="28"/>
              </w:rPr>
            </w:pPr>
            <w:r>
              <w:rPr>
                <w:rFonts w:hint="eastAsia" w:ascii="华文中宋" w:hAnsi="华文中宋" w:eastAsia="华文中宋"/>
                <w:color w:val="000000"/>
                <w:sz w:val="28"/>
              </w:rPr>
              <w:t>播</w:t>
            </w:r>
          </w:p>
          <w:p>
            <w:pPr>
              <w:spacing w:line="380" w:lineRule="exact"/>
              <w:jc w:val="center"/>
              <w:rPr>
                <w:rFonts w:hint="eastAsia" w:ascii="华文中宋" w:hAnsi="华文中宋" w:eastAsia="华文中宋"/>
                <w:color w:val="000000"/>
                <w:sz w:val="28"/>
              </w:rPr>
            </w:pPr>
            <w:r>
              <w:rPr>
                <w:rFonts w:hint="eastAsia" w:ascii="华文中宋" w:hAnsi="华文中宋" w:eastAsia="华文中宋"/>
                <w:color w:val="000000"/>
                <w:sz w:val="28"/>
              </w:rPr>
              <w:t>数</w:t>
            </w:r>
          </w:p>
          <w:p>
            <w:pPr>
              <w:spacing w:line="380" w:lineRule="exact"/>
              <w:jc w:val="center"/>
              <w:rPr>
                <w:rFonts w:hint="eastAsia" w:ascii="华文中宋" w:hAnsi="华文中宋" w:eastAsia="华文中宋"/>
                <w:color w:val="000000"/>
                <w:sz w:val="28"/>
              </w:rPr>
            </w:pPr>
            <w:r>
              <w:rPr>
                <w:rFonts w:hint="eastAsia" w:ascii="华文中宋" w:hAnsi="华文中宋" w:eastAsia="华文中宋"/>
                <w:color w:val="000000"/>
                <w:sz w:val="28"/>
              </w:rPr>
              <w:t>据</w:t>
            </w:r>
          </w:p>
        </w:tc>
        <w:tc>
          <w:tcPr>
            <w:tcW w:w="1489" w:type="dxa"/>
            <w:vMerge w:val="restart"/>
            <w:vAlign w:val="center"/>
          </w:tcPr>
          <w:p>
            <w:pPr>
              <w:jc w:val="center"/>
              <w:rPr>
                <w:rFonts w:hint="eastAsia" w:ascii="仿宋" w:hAnsi="仿宋" w:eastAsia="仿宋" w:cs="仿宋"/>
                <w:color w:val="000000"/>
                <w:sz w:val="24"/>
                <w:szCs w:val="18"/>
              </w:rPr>
            </w:pPr>
            <w:r>
              <w:rPr>
                <w:rFonts w:hint="eastAsia" w:ascii="仿宋" w:hAnsi="仿宋" w:eastAsia="仿宋" w:cs="仿宋"/>
                <w:color w:val="000000"/>
                <w:sz w:val="24"/>
                <w:szCs w:val="24"/>
              </w:rPr>
              <w:t>新媒体传播平台网址</w:t>
            </w:r>
          </w:p>
        </w:tc>
        <w:tc>
          <w:tcPr>
            <w:tcW w:w="290" w:type="dxa"/>
            <w:vAlign w:val="center"/>
          </w:tcPr>
          <w:p>
            <w:pPr>
              <w:jc w:val="center"/>
              <w:rPr>
                <w:rFonts w:hint="eastAsia" w:ascii="仿宋" w:hAnsi="仿宋" w:eastAsia="仿宋" w:cs="仿宋"/>
                <w:color w:val="000000"/>
                <w:sz w:val="24"/>
                <w:szCs w:val="18"/>
                <w:lang w:val="en-US" w:eastAsia="zh-CN"/>
              </w:rPr>
            </w:pPr>
            <w:r>
              <w:rPr>
                <w:rFonts w:hint="eastAsia" w:ascii="仿宋" w:hAnsi="仿宋" w:eastAsia="仿宋" w:cs="仿宋"/>
                <w:color w:val="000000"/>
                <w:sz w:val="24"/>
                <w:szCs w:val="18"/>
                <w:lang w:val="en-US" w:eastAsia="zh-CN"/>
              </w:rPr>
              <w:t>1</w:t>
            </w:r>
          </w:p>
        </w:tc>
        <w:tc>
          <w:tcPr>
            <w:tcW w:w="6279" w:type="dxa"/>
            <w:gridSpan w:val="9"/>
            <w:vAlign w:val="center"/>
          </w:tcPr>
          <w:p>
            <w:pPr>
              <w:rPr>
                <w:rFonts w:hint="eastAsia" w:ascii="仿宋" w:hAnsi="仿宋" w:eastAsia="仿宋" w:cs="仿宋"/>
                <w:color w:val="000000"/>
                <w:sz w:val="18"/>
                <w:szCs w:val="18"/>
              </w:rPr>
            </w:pPr>
            <w:r>
              <w:rPr>
                <w:rFonts w:hint="eastAsia" w:ascii="仿宋" w:hAnsi="仿宋" w:eastAsia="仿宋" w:cs="仿宋"/>
                <w:color w:val="000000"/>
                <w:sz w:val="18"/>
                <w:szCs w:val="18"/>
              </w:rPr>
              <w:fldChar w:fldCharType="begin"/>
            </w:r>
            <w:r>
              <w:rPr>
                <w:rFonts w:hint="eastAsia" w:ascii="仿宋" w:hAnsi="仿宋" w:eastAsia="仿宋" w:cs="仿宋"/>
                <w:color w:val="000000"/>
                <w:sz w:val="18"/>
                <w:szCs w:val="18"/>
              </w:rPr>
              <w:instrText xml:space="preserve"> HYPERLINK "https://mp.weixin.qq.com/s/xQJHSrhse8L5cITAXXyTLw" </w:instrText>
            </w:r>
            <w:r>
              <w:rPr>
                <w:rFonts w:hint="eastAsia" w:ascii="仿宋" w:hAnsi="仿宋" w:eastAsia="仿宋" w:cs="仿宋"/>
                <w:color w:val="000000"/>
                <w:sz w:val="18"/>
                <w:szCs w:val="18"/>
              </w:rPr>
              <w:fldChar w:fldCharType="separate"/>
            </w:r>
            <w:r>
              <w:rPr>
                <w:rStyle w:val="6"/>
                <w:rFonts w:hint="eastAsia" w:ascii="仿宋" w:hAnsi="仿宋" w:eastAsia="仿宋" w:cs="仿宋"/>
                <w:color w:val="000000"/>
                <w:sz w:val="18"/>
                <w:szCs w:val="18"/>
              </w:rPr>
              <w:t>https://mp.weixin.qq.com/s/xQJHSrhse8L5cITAXXyTLw</w:t>
            </w:r>
            <w:r>
              <w:rPr>
                <w:rFonts w:hint="eastAsia" w:ascii="仿宋" w:hAnsi="仿宋" w:eastAsia="仿宋" w:cs="仿宋"/>
                <w:color w:val="000000"/>
                <w:sz w:val="18"/>
                <w:szCs w:val="18"/>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1" w:hRule="atLeast"/>
        </w:trPr>
        <w:tc>
          <w:tcPr>
            <w:tcW w:w="1566" w:type="dxa"/>
            <w:vMerge w:val="continue"/>
            <w:vAlign w:val="center"/>
          </w:tcPr>
          <w:p>
            <w:pPr>
              <w:ind w:firstLine="420"/>
            </w:pPr>
          </w:p>
        </w:tc>
        <w:tc>
          <w:tcPr>
            <w:tcW w:w="1489" w:type="dxa"/>
            <w:vMerge w:val="continue"/>
            <w:vAlign w:val="center"/>
          </w:tcPr>
          <w:p>
            <w:pPr>
              <w:ind w:firstLine="420"/>
              <w:rPr>
                <w:rFonts w:hint="eastAsia" w:ascii="仿宋" w:hAnsi="仿宋" w:eastAsia="仿宋" w:cs="仿宋"/>
                <w:color w:val="000000"/>
                <w:sz w:val="24"/>
                <w:szCs w:val="18"/>
              </w:rPr>
            </w:pPr>
          </w:p>
        </w:tc>
        <w:tc>
          <w:tcPr>
            <w:tcW w:w="290" w:type="dxa"/>
            <w:vAlign w:val="center"/>
          </w:tcPr>
          <w:p>
            <w:pPr>
              <w:jc w:val="center"/>
              <w:rPr>
                <w:rFonts w:hint="default" w:ascii="仿宋" w:hAnsi="仿宋" w:eastAsia="仿宋" w:cs="仿宋"/>
                <w:color w:val="000000"/>
                <w:sz w:val="24"/>
                <w:szCs w:val="18"/>
                <w:lang w:val="en-US" w:eastAsia="zh-CN"/>
              </w:rPr>
            </w:pPr>
            <w:r>
              <w:rPr>
                <w:rFonts w:hint="eastAsia" w:ascii="仿宋" w:hAnsi="仿宋" w:eastAsia="仿宋" w:cs="仿宋"/>
                <w:color w:val="000000"/>
                <w:sz w:val="24"/>
                <w:szCs w:val="18"/>
                <w:lang w:val="en-US" w:eastAsia="zh-CN"/>
              </w:rPr>
              <w:t>2</w:t>
            </w:r>
          </w:p>
        </w:tc>
        <w:tc>
          <w:tcPr>
            <w:tcW w:w="6279" w:type="dxa"/>
            <w:gridSpan w:val="9"/>
            <w:vAlign w:val="center"/>
          </w:tcPr>
          <w:p>
            <w:pPr>
              <w:rPr>
                <w:rFonts w:hint="eastAsia" w:ascii="仿宋" w:hAnsi="仿宋" w:eastAsia="仿宋" w:cs="仿宋"/>
                <w:color w:val="000000"/>
                <w:sz w:val="18"/>
                <w:szCs w:val="18"/>
              </w:rPr>
            </w:pPr>
            <w:r>
              <w:rPr>
                <w:rFonts w:hint="eastAsia" w:ascii="仿宋" w:hAnsi="仿宋" w:eastAsia="仿宋" w:cs="仿宋"/>
                <w:color w:val="000000"/>
                <w:sz w:val="18"/>
                <w:szCs w:val="18"/>
              </w:rPr>
              <w:fldChar w:fldCharType="begin"/>
            </w:r>
            <w:r>
              <w:rPr>
                <w:rFonts w:hint="eastAsia" w:ascii="仿宋" w:hAnsi="仿宋" w:eastAsia="仿宋" w:cs="仿宋"/>
                <w:color w:val="000000"/>
                <w:sz w:val="18"/>
                <w:szCs w:val="18"/>
              </w:rPr>
              <w:instrText xml:space="preserve"> HYPERLINK "http://www.ccin.com.cn/detail/57303ab28dcaacd52757c062645e171d/news" </w:instrText>
            </w:r>
            <w:r>
              <w:rPr>
                <w:rFonts w:hint="eastAsia" w:ascii="仿宋" w:hAnsi="仿宋" w:eastAsia="仿宋" w:cs="仿宋"/>
                <w:color w:val="000000"/>
                <w:sz w:val="18"/>
                <w:szCs w:val="18"/>
              </w:rPr>
              <w:fldChar w:fldCharType="separate"/>
            </w:r>
            <w:r>
              <w:rPr>
                <w:rStyle w:val="6"/>
                <w:rFonts w:hint="eastAsia" w:ascii="仿宋" w:hAnsi="仿宋" w:eastAsia="仿宋" w:cs="仿宋"/>
                <w:color w:val="000000"/>
                <w:sz w:val="18"/>
                <w:szCs w:val="18"/>
              </w:rPr>
              <w:t>http://www.ccin.com.cn/detail/57303ab28dcaacd52757c062645e171d/news</w:t>
            </w:r>
            <w:r>
              <w:rPr>
                <w:rFonts w:hint="eastAsia" w:ascii="仿宋" w:hAnsi="仿宋" w:eastAsia="仿宋" w:cs="仿宋"/>
                <w:color w:val="000000"/>
                <w:sz w:val="18"/>
                <w:szCs w:val="18"/>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 w:hRule="atLeast"/>
        </w:trPr>
        <w:tc>
          <w:tcPr>
            <w:tcW w:w="1566" w:type="dxa"/>
            <w:vMerge w:val="continue"/>
            <w:vAlign w:val="center"/>
          </w:tcPr>
          <w:p>
            <w:pPr>
              <w:ind w:firstLine="420"/>
              <w:rPr>
                <w:rFonts w:hint="eastAsia" w:ascii="仿宋" w:hAnsi="仿宋" w:eastAsia="仿宋" w:cs="仿宋"/>
                <w:color w:val="000000"/>
                <w:sz w:val="24"/>
                <w:szCs w:val="18"/>
              </w:rPr>
            </w:pPr>
          </w:p>
        </w:tc>
        <w:tc>
          <w:tcPr>
            <w:tcW w:w="1489" w:type="dxa"/>
            <w:vMerge w:val="continue"/>
            <w:vAlign w:val="center"/>
          </w:tcPr>
          <w:p>
            <w:pPr>
              <w:ind w:firstLine="420"/>
              <w:rPr>
                <w:rFonts w:hint="eastAsia" w:ascii="仿宋" w:hAnsi="仿宋" w:eastAsia="仿宋" w:cs="仿宋"/>
                <w:color w:val="000000"/>
                <w:sz w:val="24"/>
                <w:szCs w:val="18"/>
              </w:rPr>
            </w:pPr>
          </w:p>
        </w:tc>
        <w:tc>
          <w:tcPr>
            <w:tcW w:w="290" w:type="dxa"/>
            <w:vAlign w:val="center"/>
          </w:tcPr>
          <w:p>
            <w:pPr>
              <w:jc w:val="center"/>
              <w:rPr>
                <w:rFonts w:hint="default" w:ascii="仿宋" w:hAnsi="仿宋" w:eastAsia="仿宋" w:cs="仿宋"/>
                <w:color w:val="000000"/>
                <w:sz w:val="24"/>
                <w:szCs w:val="18"/>
                <w:lang w:val="en-US" w:eastAsia="zh-CN"/>
              </w:rPr>
            </w:pPr>
            <w:r>
              <w:rPr>
                <w:rFonts w:hint="eastAsia" w:ascii="仿宋" w:hAnsi="仿宋" w:eastAsia="仿宋" w:cs="仿宋"/>
                <w:color w:val="000000"/>
                <w:sz w:val="24"/>
                <w:szCs w:val="18"/>
                <w:lang w:val="en-US" w:eastAsia="zh-CN"/>
              </w:rPr>
              <w:t>3</w:t>
            </w:r>
          </w:p>
        </w:tc>
        <w:tc>
          <w:tcPr>
            <w:tcW w:w="6279" w:type="dxa"/>
            <w:gridSpan w:val="9"/>
            <w:vAlign w:val="center"/>
          </w:tcPr>
          <w:p>
            <w:pPr>
              <w:rPr>
                <w:rFonts w:hint="eastAsia" w:ascii="仿宋" w:hAnsi="仿宋" w:eastAsia="仿宋" w:cs="仿宋"/>
                <w:color w:val="000000"/>
                <w:sz w:val="18"/>
                <w:szCs w:val="18"/>
              </w:rPr>
            </w:pPr>
            <w:r>
              <w:rPr>
                <w:rFonts w:hint="eastAsia" w:ascii="仿宋" w:hAnsi="仿宋" w:eastAsia="仿宋" w:cs="仿宋"/>
                <w:color w:val="000000"/>
                <w:sz w:val="18"/>
                <w:szCs w:val="18"/>
              </w:rPr>
              <w:fldChar w:fldCharType="begin"/>
            </w:r>
            <w:r>
              <w:rPr>
                <w:rFonts w:hint="eastAsia" w:ascii="仿宋" w:hAnsi="仿宋" w:eastAsia="仿宋" w:cs="仿宋"/>
                <w:color w:val="000000"/>
                <w:sz w:val="18"/>
                <w:szCs w:val="18"/>
              </w:rPr>
              <w:instrText xml:space="preserve"> HYPERLINK "http://m.ccin.com.cn/#/news/detail?id=370137&amp;type=news" </w:instrText>
            </w:r>
            <w:r>
              <w:rPr>
                <w:rFonts w:hint="eastAsia" w:ascii="仿宋" w:hAnsi="仿宋" w:eastAsia="仿宋" w:cs="仿宋"/>
                <w:color w:val="000000"/>
                <w:sz w:val="18"/>
                <w:szCs w:val="18"/>
              </w:rPr>
              <w:fldChar w:fldCharType="separate"/>
            </w:r>
            <w:r>
              <w:rPr>
                <w:rStyle w:val="6"/>
                <w:rFonts w:hint="eastAsia" w:ascii="仿宋" w:hAnsi="仿宋" w:eastAsia="仿宋" w:cs="仿宋"/>
                <w:color w:val="000000"/>
                <w:sz w:val="18"/>
                <w:szCs w:val="18"/>
              </w:rPr>
              <w:t>http://m.ccin.com.cn/#/news/detail?id=370137&amp;type=news</w:t>
            </w:r>
            <w:r>
              <w:rPr>
                <w:rFonts w:hint="eastAsia" w:ascii="仿宋" w:hAnsi="仿宋" w:eastAsia="仿宋" w:cs="仿宋"/>
                <w:color w:val="000000"/>
                <w:sz w:val="18"/>
                <w:szCs w:val="18"/>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9" w:hRule="atLeast"/>
        </w:trPr>
        <w:tc>
          <w:tcPr>
            <w:tcW w:w="1566" w:type="dxa"/>
            <w:vMerge w:val="continue"/>
            <w:vAlign w:val="center"/>
          </w:tcPr>
          <w:p>
            <w:pPr>
              <w:ind w:firstLine="420"/>
              <w:rPr>
                <w:rFonts w:hint="eastAsia" w:ascii="仿宋" w:hAnsi="仿宋" w:eastAsia="仿宋" w:cs="仿宋"/>
                <w:color w:val="000000"/>
                <w:sz w:val="24"/>
                <w:szCs w:val="18"/>
              </w:rPr>
            </w:pPr>
          </w:p>
        </w:tc>
        <w:tc>
          <w:tcPr>
            <w:tcW w:w="1489" w:type="dxa"/>
            <w:vAlign w:val="center"/>
          </w:tcPr>
          <w:p>
            <w:pPr>
              <w:keepNext w:val="0"/>
              <w:keepLines w:val="0"/>
              <w:pageBreakBefore w:val="0"/>
              <w:widowControl w:val="0"/>
              <w:kinsoku/>
              <w:wordWrap/>
              <w:overflowPunct/>
              <w:topLinePunct w:val="0"/>
              <w:autoSpaceDE/>
              <w:autoSpaceDN/>
              <w:bidi w:val="0"/>
              <w:adjustRightInd/>
              <w:snapToGrid w:val="0"/>
              <w:spacing w:line="240" w:lineRule="exact"/>
              <w:textAlignment w:val="auto"/>
              <w:rPr>
                <w:rFonts w:hint="eastAsia" w:ascii="仿宋" w:hAnsi="仿宋" w:eastAsia="仿宋"/>
                <w:color w:val="000000"/>
                <w:szCs w:val="21"/>
                <w:lang w:val="en-US" w:eastAsia="zh-CN"/>
              </w:rPr>
            </w:pPr>
            <w:r>
              <w:rPr>
                <w:rFonts w:hint="eastAsia" w:ascii="仿宋" w:hAnsi="仿宋" w:eastAsia="仿宋"/>
                <w:color w:val="000000"/>
                <w:szCs w:val="21"/>
                <w:lang w:val="en-US" w:eastAsia="zh-CN"/>
              </w:rPr>
              <w:t>阅读量（浏览量、点击量）</w:t>
            </w:r>
          </w:p>
        </w:tc>
        <w:tc>
          <w:tcPr>
            <w:tcW w:w="2143" w:type="dxa"/>
            <w:gridSpan w:val="3"/>
            <w:vAlign w:val="center"/>
          </w:tcPr>
          <w:p>
            <w:pPr>
              <w:keepNext w:val="0"/>
              <w:keepLines w:val="0"/>
              <w:pageBreakBefore w:val="0"/>
              <w:widowControl w:val="0"/>
              <w:kinsoku/>
              <w:wordWrap/>
              <w:overflowPunct/>
              <w:topLinePunct w:val="0"/>
              <w:autoSpaceDE/>
              <w:autoSpaceDN/>
              <w:bidi w:val="0"/>
              <w:adjustRightInd/>
              <w:snapToGrid w:val="0"/>
              <w:spacing w:line="240" w:lineRule="exact"/>
              <w:textAlignment w:val="auto"/>
              <w:rPr>
                <w:rFonts w:hint="default" w:ascii="仿宋" w:hAnsi="仿宋" w:eastAsia="仿宋"/>
                <w:color w:val="000000"/>
                <w:sz w:val="24"/>
                <w:szCs w:val="24"/>
                <w:lang w:val="en-US" w:eastAsia="zh-CN"/>
              </w:rPr>
            </w:pPr>
            <w:r>
              <w:rPr>
                <w:rFonts w:hint="eastAsia" w:ascii="仿宋" w:hAnsi="仿宋" w:eastAsia="仿宋"/>
                <w:color w:val="000000"/>
                <w:sz w:val="24"/>
                <w:szCs w:val="24"/>
                <w:lang w:val="en-US" w:eastAsia="zh-CN"/>
              </w:rPr>
              <w:t>64.8万</w:t>
            </w:r>
            <w:r>
              <w:rPr>
                <w:rFonts w:hint="eastAsia" w:ascii="仿宋" w:hAnsi="仿宋" w:eastAsia="仿宋" w:cs="仿宋"/>
                <w:color w:val="000000"/>
                <w:sz w:val="21"/>
                <w:szCs w:val="21"/>
                <w:lang w:val="en-US" w:eastAsia="zh-CN"/>
              </w:rPr>
              <w:t>（网微合计）</w:t>
            </w:r>
          </w:p>
        </w:tc>
        <w:tc>
          <w:tcPr>
            <w:tcW w:w="986" w:type="dxa"/>
            <w:gridSpan w:val="2"/>
            <w:vAlign w:val="center"/>
          </w:tcPr>
          <w:p>
            <w:pPr>
              <w:keepNext w:val="0"/>
              <w:keepLines w:val="0"/>
              <w:pageBreakBefore w:val="0"/>
              <w:widowControl w:val="0"/>
              <w:kinsoku/>
              <w:wordWrap/>
              <w:overflowPunct/>
              <w:topLinePunct w:val="0"/>
              <w:autoSpaceDE/>
              <w:autoSpaceDN/>
              <w:bidi w:val="0"/>
              <w:adjustRightInd/>
              <w:snapToGrid w:val="0"/>
              <w:spacing w:line="240" w:lineRule="exact"/>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转载量</w:t>
            </w:r>
          </w:p>
        </w:tc>
        <w:tc>
          <w:tcPr>
            <w:tcW w:w="1221" w:type="dxa"/>
            <w:gridSpan w:val="2"/>
            <w:vAlign w:val="center"/>
          </w:tcPr>
          <w:p>
            <w:pPr>
              <w:keepNext w:val="0"/>
              <w:keepLines w:val="0"/>
              <w:pageBreakBefore w:val="0"/>
              <w:widowControl w:val="0"/>
              <w:kinsoku/>
              <w:wordWrap/>
              <w:overflowPunct/>
              <w:topLinePunct w:val="0"/>
              <w:autoSpaceDE/>
              <w:autoSpaceDN/>
              <w:bidi w:val="0"/>
              <w:adjustRightInd/>
              <w:snapToGrid w:val="0"/>
              <w:spacing w:line="240" w:lineRule="exact"/>
              <w:textAlignment w:val="auto"/>
              <w:rPr>
                <w:rFonts w:hint="default"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390</w:t>
            </w:r>
            <w:r>
              <w:rPr>
                <w:rFonts w:hint="eastAsia" w:ascii="仿宋" w:hAnsi="仿宋" w:eastAsia="仿宋" w:cs="仿宋"/>
                <w:color w:val="000000"/>
                <w:sz w:val="21"/>
                <w:szCs w:val="21"/>
                <w:lang w:val="en-US" w:eastAsia="zh-CN"/>
              </w:rPr>
              <w:t>（</w:t>
            </w:r>
            <w:r>
              <w:rPr>
                <w:rFonts w:hint="eastAsia" w:ascii="仿宋" w:hAnsi="仿宋" w:eastAsia="仿宋" w:cs="仿宋"/>
                <w:color w:val="000000"/>
                <w:sz w:val="21"/>
                <w:szCs w:val="21"/>
                <w:lang w:val="en-US" w:eastAsia="zh-CN"/>
              </w:rPr>
              <w:t>官微）</w:t>
            </w:r>
          </w:p>
        </w:tc>
        <w:tc>
          <w:tcPr>
            <w:tcW w:w="965" w:type="dxa"/>
            <w:vAlign w:val="center"/>
          </w:tcPr>
          <w:p>
            <w:pPr>
              <w:keepNext w:val="0"/>
              <w:keepLines w:val="0"/>
              <w:pageBreakBefore w:val="0"/>
              <w:widowControl w:val="0"/>
              <w:kinsoku/>
              <w:wordWrap/>
              <w:overflowPunct/>
              <w:topLinePunct w:val="0"/>
              <w:autoSpaceDE/>
              <w:autoSpaceDN/>
              <w:bidi w:val="0"/>
              <w:adjustRightInd/>
              <w:snapToGrid w:val="0"/>
              <w:spacing w:line="240" w:lineRule="exact"/>
              <w:jc w:val="both"/>
              <w:textAlignment w:val="auto"/>
              <w:rPr>
                <w:rFonts w:hint="eastAsia" w:ascii="仿宋" w:hAnsi="仿宋" w:eastAsia="仿宋" w:cs="仿宋"/>
                <w:color w:val="000000"/>
                <w:sz w:val="24"/>
                <w:szCs w:val="24"/>
              </w:rPr>
            </w:pPr>
            <w:r>
              <w:rPr>
                <w:rFonts w:hint="eastAsia" w:ascii="仿宋" w:hAnsi="仿宋" w:eastAsia="仿宋" w:cs="仿宋"/>
                <w:color w:val="000000"/>
                <w:sz w:val="24"/>
                <w:szCs w:val="24"/>
              </w:rPr>
              <w:t>互动量</w:t>
            </w:r>
          </w:p>
        </w:tc>
        <w:tc>
          <w:tcPr>
            <w:tcW w:w="1254" w:type="dxa"/>
            <w:gridSpan w:val="2"/>
            <w:vAlign w:val="center"/>
          </w:tcPr>
          <w:p>
            <w:pPr>
              <w:keepNext w:val="0"/>
              <w:keepLines w:val="0"/>
              <w:pageBreakBefore w:val="0"/>
              <w:widowControl w:val="0"/>
              <w:kinsoku/>
              <w:wordWrap/>
              <w:overflowPunct/>
              <w:topLinePunct w:val="0"/>
              <w:autoSpaceDE/>
              <w:autoSpaceDN/>
              <w:bidi w:val="0"/>
              <w:adjustRightInd/>
              <w:snapToGrid w:val="0"/>
              <w:spacing w:line="240" w:lineRule="exact"/>
              <w:textAlignment w:val="auto"/>
              <w:rPr>
                <w:rFonts w:hint="default" w:ascii="仿宋" w:hAnsi="仿宋" w:eastAsia="仿宋" w:cs="仿宋"/>
                <w:color w:val="000000"/>
                <w:sz w:val="24"/>
                <w:szCs w:val="24"/>
                <w:lang w:val="en-US" w:eastAsia="zh-CN"/>
              </w:rPr>
            </w:pPr>
            <w:r>
              <w:rPr>
                <w:rFonts w:hint="eastAsia" w:ascii="仿宋" w:hAnsi="仿宋" w:eastAsia="仿宋" w:cs="仿宋"/>
                <w:color w:val="000000"/>
                <w:sz w:val="24"/>
                <w:szCs w:val="24"/>
                <w:lang w:val="en-US" w:eastAsia="zh-CN"/>
              </w:rPr>
              <w:t>649</w:t>
            </w:r>
            <w:r>
              <w:rPr>
                <w:rFonts w:hint="eastAsia" w:ascii="仿宋" w:hAnsi="仿宋" w:eastAsia="仿宋" w:cs="仿宋"/>
                <w:color w:val="000000"/>
                <w:sz w:val="21"/>
                <w:szCs w:val="21"/>
                <w:lang w:val="en-US" w:eastAsia="zh-CN"/>
              </w:rPr>
              <w:t>（官微）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82" w:hRule="exact"/>
        </w:trPr>
        <w:tc>
          <w:tcPr>
            <w:tcW w:w="1566" w:type="dxa"/>
            <w:tcBorders>
              <w:bottom w:val="single" w:color="auto" w:sz="4" w:space="0"/>
            </w:tcBorders>
            <w:vAlign w:val="center"/>
          </w:tcPr>
          <w:p>
            <w:pPr>
              <w:spacing w:line="380" w:lineRule="exact"/>
              <w:jc w:val="center"/>
              <w:rPr>
                <w:rFonts w:ascii="华文中宋" w:hAnsi="华文中宋" w:eastAsia="华文中宋"/>
                <w:color w:val="000000"/>
                <w:sz w:val="28"/>
              </w:rPr>
            </w:pPr>
            <w:r>
              <w:rPr>
                <w:rFonts w:hint="eastAsia" w:ascii="华文中宋" w:hAnsi="华文中宋" w:eastAsia="华文中宋"/>
                <w:color w:val="000000"/>
                <w:sz w:val="28"/>
              </w:rPr>
              <w:t>推</w:t>
            </w:r>
          </w:p>
          <w:p>
            <w:pPr>
              <w:spacing w:line="380" w:lineRule="exact"/>
              <w:jc w:val="center"/>
              <w:rPr>
                <w:rFonts w:ascii="华文中宋" w:hAnsi="华文中宋" w:eastAsia="华文中宋"/>
                <w:color w:val="000000"/>
                <w:sz w:val="28"/>
              </w:rPr>
            </w:pPr>
            <w:r>
              <w:rPr>
                <w:rFonts w:hint="eastAsia" w:ascii="华文中宋" w:hAnsi="华文中宋" w:eastAsia="华文中宋"/>
                <w:color w:val="000000"/>
                <w:sz w:val="28"/>
              </w:rPr>
              <w:t>荐</w:t>
            </w:r>
          </w:p>
          <w:p>
            <w:pPr>
              <w:spacing w:line="380" w:lineRule="exact"/>
              <w:jc w:val="center"/>
              <w:rPr>
                <w:rFonts w:ascii="华文中宋" w:hAnsi="华文中宋" w:eastAsia="华文中宋"/>
                <w:color w:val="000000"/>
                <w:sz w:val="28"/>
              </w:rPr>
            </w:pPr>
            <w:r>
              <w:rPr>
                <w:rFonts w:hint="eastAsia" w:ascii="华文中宋" w:hAnsi="华文中宋" w:eastAsia="华文中宋"/>
                <w:color w:val="000000"/>
                <w:sz w:val="28"/>
              </w:rPr>
              <w:t>理</w:t>
            </w:r>
          </w:p>
          <w:p>
            <w:pPr>
              <w:spacing w:line="340" w:lineRule="exact"/>
              <w:jc w:val="center"/>
              <w:rPr>
                <w:rFonts w:ascii="华文中宋" w:hAnsi="华文中宋" w:eastAsia="华文中宋"/>
                <w:color w:val="000000"/>
                <w:sz w:val="28"/>
              </w:rPr>
            </w:pPr>
            <w:r>
              <w:rPr>
                <w:rFonts w:hint="eastAsia" w:ascii="华文中宋" w:hAnsi="华文中宋" w:eastAsia="华文中宋"/>
                <w:color w:val="000000"/>
                <w:sz w:val="28"/>
              </w:rPr>
              <w:t>由</w:t>
            </w:r>
          </w:p>
        </w:tc>
        <w:tc>
          <w:tcPr>
            <w:tcW w:w="8058" w:type="dxa"/>
            <w:gridSpan w:val="11"/>
            <w:tcBorders>
              <w:bottom w:val="single" w:color="auto" w:sz="4" w:space="0"/>
            </w:tcBorders>
            <w:vAlign w:val="center"/>
          </w:tcPr>
          <w:p>
            <w:pPr>
              <w:ind w:firstLine="440" w:firstLineChars="200"/>
              <w:rPr>
                <w:rFonts w:hint="eastAsia"/>
                <w:sz w:val="22"/>
                <w:szCs w:val="22"/>
                <w:lang w:eastAsia="zh-CN"/>
              </w:rPr>
            </w:pPr>
            <w:r>
              <w:rPr>
                <w:rFonts w:hint="default"/>
                <w:sz w:val="22"/>
                <w:szCs w:val="22"/>
              </w:rPr>
              <w:t>这是一篇选题精准、视野开阔、思辨性强的</w:t>
            </w:r>
            <w:r>
              <w:rPr>
                <w:rFonts w:hint="eastAsia"/>
                <w:sz w:val="22"/>
                <w:szCs w:val="22"/>
                <w:lang w:val="en-US" w:eastAsia="zh-CN"/>
              </w:rPr>
              <w:t>科技报道</w:t>
            </w:r>
            <w:r>
              <w:rPr>
                <w:rFonts w:hint="default"/>
                <w:sz w:val="22"/>
                <w:szCs w:val="22"/>
              </w:rPr>
              <w:t>。</w:t>
            </w:r>
            <w:r>
              <w:rPr>
                <w:rFonts w:hint="eastAsia"/>
                <w:sz w:val="22"/>
                <w:szCs w:val="22"/>
                <w:lang w:val="en-US" w:eastAsia="zh-CN"/>
              </w:rPr>
              <w:t>文章抓住2025</w:t>
            </w:r>
            <w:r>
              <w:rPr>
                <w:rFonts w:hint="default"/>
                <w:sz w:val="22"/>
                <w:szCs w:val="22"/>
              </w:rPr>
              <w:t>年度科技新闻</w:t>
            </w:r>
            <w:r>
              <w:rPr>
                <w:rFonts w:hint="eastAsia"/>
                <w:sz w:val="22"/>
                <w:szCs w:val="22"/>
                <w:lang w:val="en-US" w:eastAsia="zh-CN"/>
              </w:rPr>
              <w:t>最</w:t>
            </w:r>
            <w:r>
              <w:rPr>
                <w:rFonts w:hint="default"/>
                <w:sz w:val="22"/>
                <w:szCs w:val="22"/>
              </w:rPr>
              <w:t>大I</w:t>
            </w:r>
            <w:r>
              <w:rPr>
                <w:rFonts w:hint="eastAsia"/>
                <w:sz w:val="22"/>
                <w:szCs w:val="22"/>
                <w:lang w:val="en-US" w:eastAsia="zh-CN"/>
              </w:rPr>
              <w:t>P——MOF，以“开窍”为喻构建三层递进结构，明暗双线交织，</w:t>
            </w:r>
            <w:r>
              <w:rPr>
                <w:rFonts w:hint="default"/>
                <w:sz w:val="22"/>
                <w:szCs w:val="22"/>
                <w:lang w:val="en-US" w:eastAsia="zh-CN"/>
              </w:rPr>
              <w:t>用行业视角</w:t>
            </w:r>
            <w:r>
              <w:rPr>
                <w:rFonts w:hint="eastAsia"/>
                <w:sz w:val="22"/>
                <w:szCs w:val="22"/>
                <w:lang w:val="en-US" w:eastAsia="zh-CN"/>
              </w:rPr>
              <w:t>解读</w:t>
            </w:r>
            <w:r>
              <w:rPr>
                <w:rFonts w:hint="default"/>
                <w:sz w:val="22"/>
                <w:szCs w:val="22"/>
                <w:lang w:val="en-US" w:eastAsia="zh-CN"/>
              </w:rPr>
              <w:t>前沿科技</w:t>
            </w:r>
            <w:r>
              <w:rPr>
                <w:rFonts w:hint="eastAsia"/>
                <w:sz w:val="22"/>
                <w:szCs w:val="22"/>
                <w:lang w:val="en-US" w:eastAsia="zh-CN"/>
              </w:rPr>
              <w:t>、</w:t>
            </w:r>
            <w:r>
              <w:rPr>
                <w:rFonts w:hint="default"/>
                <w:sz w:val="22"/>
                <w:szCs w:val="22"/>
                <w:lang w:val="en-US" w:eastAsia="zh-CN"/>
              </w:rPr>
              <w:t>回应公众关切，在“热关注”中</w:t>
            </w:r>
            <w:r>
              <w:rPr>
                <w:rFonts w:hint="eastAsia"/>
                <w:sz w:val="22"/>
                <w:szCs w:val="22"/>
                <w:lang w:val="en-US" w:eastAsia="zh-CN"/>
              </w:rPr>
              <w:t>保持</w:t>
            </w:r>
            <w:r>
              <w:rPr>
                <w:rFonts w:hint="default"/>
                <w:sz w:val="22"/>
                <w:szCs w:val="22"/>
                <w:lang w:val="en-US" w:eastAsia="zh-CN"/>
              </w:rPr>
              <w:t>“冷思考”</w:t>
            </w:r>
            <w:r>
              <w:rPr>
                <w:rFonts w:hint="eastAsia"/>
                <w:sz w:val="22"/>
                <w:szCs w:val="22"/>
                <w:lang w:val="en-US" w:eastAsia="zh-CN"/>
              </w:rPr>
              <w:t>。</w:t>
            </w:r>
            <w:r>
              <w:rPr>
                <w:rFonts w:hint="default"/>
                <w:sz w:val="22"/>
                <w:szCs w:val="22"/>
                <w:lang w:val="en-US" w:eastAsia="zh-CN"/>
              </w:rPr>
              <w:t>采访扎实，信源权威，</w:t>
            </w:r>
            <w:r>
              <w:rPr>
                <w:rFonts w:hint="eastAsia"/>
                <w:sz w:val="22"/>
                <w:szCs w:val="22"/>
                <w:lang w:val="en-US" w:eastAsia="zh-CN"/>
              </w:rPr>
              <w:t>充分</w:t>
            </w:r>
            <w:r>
              <w:rPr>
                <w:rFonts w:hint="default"/>
                <w:sz w:val="22"/>
                <w:szCs w:val="22"/>
              </w:rPr>
              <w:t>体现了行业媒体在重大科技议题上的专业判断力和舆论引导力</w:t>
            </w:r>
            <w:r>
              <w:rPr>
                <w:rFonts w:hint="eastAsia"/>
                <w:sz w:val="22"/>
                <w:szCs w:val="22"/>
                <w:lang w:eastAsia="zh-CN"/>
              </w:rPr>
              <w:t>。</w:t>
            </w:r>
          </w:p>
          <w:p>
            <w:pPr>
              <w:ind w:firstLine="440" w:firstLineChars="200"/>
              <w:rPr>
                <w:rFonts w:hint="eastAsia"/>
                <w:sz w:val="22"/>
                <w:szCs w:val="22"/>
                <w:lang w:val="en-US" w:eastAsia="zh-CN"/>
              </w:rPr>
            </w:pPr>
            <w:r>
              <w:rPr>
                <w:rFonts w:hint="eastAsia"/>
                <w:sz w:val="22"/>
                <w:szCs w:val="22"/>
                <w:lang w:val="en-US" w:eastAsia="zh-CN"/>
              </w:rPr>
              <w:t>特此推荐。</w:t>
            </w:r>
          </w:p>
          <w:p>
            <w:pPr>
              <w:keepNext w:val="0"/>
              <w:keepLines w:val="0"/>
              <w:pageBreakBefore w:val="0"/>
              <w:widowControl w:val="0"/>
              <w:kinsoku/>
              <w:wordWrap/>
              <w:overflowPunct/>
              <w:topLinePunct w:val="0"/>
              <w:autoSpaceDE/>
              <w:autoSpaceDN/>
              <w:bidi w:val="0"/>
              <w:adjustRightInd/>
              <w:snapToGrid w:val="0"/>
              <w:spacing w:line="320" w:lineRule="exact"/>
              <w:textAlignment w:val="auto"/>
              <w:rPr>
                <w:rFonts w:ascii="华文中宋" w:hAnsi="华文中宋" w:eastAsia="华文中宋"/>
                <w:color w:val="000000"/>
                <w:sz w:val="28"/>
              </w:rPr>
            </w:pPr>
            <w:r>
              <w:rPr>
                <w:rFonts w:hint="eastAsia" w:ascii="华文中宋" w:hAnsi="华文中宋" w:eastAsia="华文中宋"/>
                <w:color w:val="000000"/>
                <w:spacing w:val="-2"/>
                <w:sz w:val="28"/>
              </w:rPr>
              <w:t xml:space="preserve">                           签名：</w:t>
            </w:r>
            <w:r>
              <w:rPr>
                <w:rFonts w:hint="eastAsia" w:ascii="华文中宋" w:hAnsi="华文中宋" w:eastAsia="华文中宋"/>
                <w:color w:val="000000"/>
                <w:spacing w:val="-2"/>
                <w:sz w:val="28"/>
                <w:lang w:val="en-US" w:eastAsia="zh-CN"/>
              </w:rPr>
              <w:t xml:space="preserve">          </w:t>
            </w:r>
            <w:r>
              <w:rPr>
                <w:rFonts w:hint="eastAsia" w:ascii="华文中宋" w:hAnsi="华文中宋" w:eastAsia="华文中宋"/>
                <w:color w:val="000000"/>
                <w:sz w:val="28"/>
              </w:rPr>
              <w:t>（盖单位公章）</w:t>
            </w:r>
          </w:p>
          <w:p>
            <w:pPr>
              <w:keepNext w:val="0"/>
              <w:keepLines w:val="0"/>
              <w:pageBreakBefore w:val="0"/>
              <w:widowControl w:val="0"/>
              <w:kinsoku/>
              <w:wordWrap/>
              <w:overflowPunct/>
              <w:topLinePunct w:val="0"/>
              <w:autoSpaceDE/>
              <w:autoSpaceDN/>
              <w:bidi w:val="0"/>
              <w:adjustRightInd/>
              <w:snapToGrid w:val="0"/>
              <w:spacing w:line="320" w:lineRule="exact"/>
              <w:textAlignment w:val="auto"/>
              <w:rPr>
                <w:rFonts w:ascii="仿宋" w:hAnsi="仿宋" w:eastAsia="仿宋"/>
                <w:color w:val="000000"/>
                <w:szCs w:val="21"/>
              </w:rPr>
            </w:pPr>
            <w:r>
              <w:rPr>
                <w:rFonts w:hint="eastAsia" w:ascii="仿宋_GB2312"/>
                <w:color w:val="000000"/>
                <w:sz w:val="28"/>
              </w:rPr>
              <w:t xml:space="preserve">                                 </w:t>
            </w:r>
            <w:r>
              <w:rPr>
                <w:rFonts w:ascii="华文中宋" w:hAnsi="华文中宋" w:eastAsia="华文中宋"/>
                <w:color w:val="000000"/>
                <w:sz w:val="28"/>
              </w:rPr>
              <w:t>20</w:t>
            </w:r>
            <w:r>
              <w:rPr>
                <w:rFonts w:hint="eastAsia" w:ascii="华文中宋" w:hAnsi="华文中宋" w:eastAsia="华文中宋"/>
                <w:color w:val="000000"/>
                <w:sz w:val="28"/>
              </w:rPr>
              <w:t>2</w:t>
            </w:r>
            <w:r>
              <w:rPr>
                <w:rFonts w:hint="eastAsia" w:ascii="华文中宋" w:hAnsi="华文中宋" w:eastAsia="华文中宋"/>
                <w:color w:val="000000"/>
                <w:sz w:val="28"/>
                <w:lang w:val="en-US" w:eastAsia="zh-CN"/>
              </w:rPr>
              <w:t>6</w:t>
            </w:r>
            <w:r>
              <w:rPr>
                <w:rFonts w:ascii="华文中宋" w:hAnsi="华文中宋" w:eastAsia="华文中宋"/>
                <w:color w:val="000000"/>
                <w:sz w:val="28"/>
              </w:rPr>
              <w:t xml:space="preserve">年  </w:t>
            </w:r>
            <w:r>
              <w:rPr>
                <w:rFonts w:hint="eastAsia" w:ascii="华文中宋" w:hAnsi="华文中宋" w:eastAsia="华文中宋"/>
                <w:color w:val="000000"/>
                <w:sz w:val="28"/>
              </w:rPr>
              <w:t>月</w:t>
            </w:r>
            <w:r>
              <w:rPr>
                <w:rFonts w:ascii="华文中宋" w:hAnsi="华文中宋" w:eastAsia="华文中宋"/>
                <w:color w:val="000000"/>
                <w:sz w:val="28"/>
              </w:rPr>
              <w:t xml:space="preserve">  </w:t>
            </w:r>
            <w:r>
              <w:rPr>
                <w:rFonts w:hint="eastAsia" w:ascii="华文中宋" w:hAnsi="华文中宋" w:eastAsia="华文中宋"/>
                <w:color w:val="000000"/>
                <w:sz w:val="28"/>
              </w:rPr>
              <w:t>日</w:t>
            </w:r>
          </w:p>
        </w:tc>
      </w:tr>
    </w:tbl>
    <w:p>
      <w:pPr>
        <w:rPr>
          <w:rFonts w:hint="eastAsia"/>
          <w:lang w:eastAsia="zh-CN"/>
        </w:rPr>
      </w:pPr>
      <w:r>
        <w:rPr>
          <w:rFonts w:hint="eastAsia"/>
          <w:lang w:eastAsia="zh-CN"/>
        </w:rPr>
        <w:t>【</w:t>
      </w:r>
      <w:r>
        <w:rPr>
          <w:rFonts w:hint="eastAsia"/>
          <w:lang w:val="en-US" w:eastAsia="zh-CN"/>
        </w:rPr>
        <w:t>原文</w:t>
      </w:r>
      <w:r>
        <w:rPr>
          <w:rFonts w:hint="eastAsia"/>
          <w:lang w:eastAsia="zh-CN"/>
        </w:rPr>
        <w:t>】</w:t>
      </w:r>
    </w:p>
    <w:p>
      <w:pPr>
        <w:jc w:val="center"/>
        <w:rPr>
          <w:rFonts w:hint="eastAsia"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rPr>
        <w:t>“开窍”的MOF，拿下诺奖</w:t>
      </w:r>
    </w:p>
    <w:p>
      <w:pPr>
        <w:rPr>
          <w:rFonts w:hint="eastAsia"/>
        </w:rPr>
      </w:pPr>
      <w:r>
        <w:rPr>
          <w:rFonts w:hint="eastAsia"/>
        </w:rPr>
        <w:t xml:space="preserve">    斯德哥尔摩的选择，触发了一场无声的产业变局。</w:t>
      </w:r>
    </w:p>
    <w:p>
      <w:pPr>
        <w:rPr>
          <w:rFonts w:hint="eastAsia"/>
        </w:rPr>
      </w:pPr>
      <w:r>
        <w:rPr>
          <w:rFonts w:hint="eastAsia"/>
        </w:rPr>
        <w:t xml:space="preserve">    10月8日，瑞典皇家科学院宣布，将2025年诺贝尔化学奖授予北川进、理查德·罗布森和奥马尔·亚吉，以表彰他们“在金属有机框架（MOF）开发领域的贡献”。“此次授奖是对一个充满想象力、已展现出变革性潜力并仍在高速发展的化学分支的‘加冕’。”中国科学院院士吴骊珠接受《中国化工报》记者采访时如是评价。</w:t>
      </w:r>
    </w:p>
    <w:p>
      <w:pPr>
        <w:rPr>
          <w:rFonts w:hint="eastAsia"/>
        </w:rPr>
      </w:pPr>
      <w:r>
        <w:rPr>
          <w:rFonts w:hint="eastAsia"/>
        </w:rPr>
        <w:t xml:space="preserve">    “加冕”的背后是产业界高涨的热情：消息公布半小时内，浙江绍兴一家新材料企业负责人便签批了一份MOF中试方案；在北京，一位创投基金合伙人迅速锁定了相关项目……随之而来的还有冷峻的审视：有人质疑MOF“除‘水’论文外还有啥用”，有人不解“问世30余年为何仍是‘概念神’”，还有人担心“中国是否落后了”。</w:t>
      </w:r>
    </w:p>
    <w:p>
      <w:pPr>
        <w:rPr>
          <w:rFonts w:hint="eastAsia"/>
        </w:rPr>
      </w:pPr>
      <w:r>
        <w:rPr>
          <w:rFonts w:hint="eastAsia"/>
        </w:rPr>
        <w:t xml:space="preserve">    “开窍”的MOF——这种具有无限可设计孔洞结构的材料，仍要继续“开窍”：从“科学桂冠”到“产业皇冠”还有多远？</w:t>
      </w:r>
    </w:p>
    <w:p>
      <w:pPr>
        <w:rPr>
          <w:rFonts w:hint="eastAsia"/>
        </w:rPr>
      </w:pPr>
    </w:p>
    <w:p>
      <w:pPr>
        <w:rPr>
          <w:rFonts w:hint="eastAsia" w:ascii="黑体" w:hAnsi="黑体" w:eastAsia="黑体" w:cs="黑体"/>
          <w:sz w:val="24"/>
          <w:szCs w:val="24"/>
        </w:rPr>
      </w:pPr>
      <w:r>
        <w:rPr>
          <w:rFonts w:hint="eastAsia" w:ascii="黑体" w:hAnsi="黑体" w:eastAsia="黑体" w:cs="黑体"/>
          <w:sz w:val="24"/>
          <w:szCs w:val="24"/>
        </w:rPr>
        <w:t>材料“开窍”</w:t>
      </w:r>
    </w:p>
    <w:p>
      <w:pPr>
        <w:rPr>
          <w:rFonts w:hint="eastAsia" w:ascii="黑体" w:hAnsi="黑体" w:eastAsia="黑体" w:cs="黑体"/>
          <w:sz w:val="24"/>
          <w:szCs w:val="24"/>
        </w:rPr>
      </w:pPr>
      <w:r>
        <w:rPr>
          <w:rFonts w:hint="eastAsia" w:ascii="黑体" w:hAnsi="黑体" w:eastAsia="黑体" w:cs="黑体"/>
          <w:sz w:val="24"/>
          <w:szCs w:val="24"/>
        </w:rPr>
        <w:t>洞见跃迁，“分子设计”翻开序章</w:t>
      </w:r>
    </w:p>
    <w:p>
      <w:pPr>
        <w:ind w:firstLine="420"/>
        <w:rPr>
          <w:rFonts w:hint="eastAsia"/>
        </w:rPr>
      </w:pPr>
    </w:p>
    <w:p>
      <w:pPr>
        <w:rPr>
          <w:rFonts w:hint="eastAsia"/>
        </w:rPr>
      </w:pPr>
      <w:r>
        <w:rPr>
          <w:rFonts w:hint="eastAsia"/>
        </w:rPr>
        <w:t xml:space="preserve">    你玩过乐高吗？</w:t>
      </w:r>
    </w:p>
    <w:p>
      <w:pPr>
        <w:rPr>
          <w:rFonts w:hint="eastAsia"/>
        </w:rPr>
      </w:pPr>
      <w:r>
        <w:rPr>
          <w:rFonts w:hint="eastAsia"/>
        </w:rPr>
        <w:t xml:space="preserve">    从一堆无序的零件，到一座完整的城堡，斑斓的积木在指尖下紧密嵌合，逻辑与创意在三维空间里共舞，演绎着一个关于结构、秩序与无限可能的创造过程。</w:t>
      </w:r>
    </w:p>
    <w:p>
      <w:pPr>
        <w:rPr>
          <w:rFonts w:hint="eastAsia"/>
        </w:rPr>
      </w:pPr>
      <w:r>
        <w:rPr>
          <w:rFonts w:hint="eastAsia"/>
        </w:rPr>
        <w:t xml:space="preserve">    MOF犹如化学世界里的“分子乐高”。它是一类由金属离子或金属簇与有机配体通过配位键连接而成的多孔材料，拥有极大的比表面积，1克MOF的内部表面积比足球场还要大。</w:t>
      </w:r>
    </w:p>
    <w:p>
      <w:pPr>
        <w:rPr>
          <w:rFonts w:hint="eastAsia"/>
        </w:rPr>
      </w:pPr>
      <w:r>
        <w:rPr>
          <w:rFonts w:hint="eastAsia"/>
        </w:rPr>
        <w:t xml:space="preserve">    “金属离子或金属簇是连接体的‘节点’，有机配体是形态各异的‘连接器’，科学家如同微观世界的建筑师，通过选择不同的‘节点’与‘连接器’，创造出不同的MOF结构，其孔径、形状、表面化学性质可以精确调控。”吴骊珠娓娓道来，“化学家可以根据目标功能——如吸附某种气体、催化特定反应，来设计MOF材料的微观结构。”</w:t>
      </w:r>
    </w:p>
    <w:p>
      <w:pPr>
        <w:rPr>
          <w:rFonts w:hint="eastAsia"/>
        </w:rPr>
      </w:pPr>
      <w:r>
        <w:rPr>
          <w:rFonts w:hint="eastAsia"/>
        </w:rPr>
        <w:t xml:space="preserve">    “新材料的合成被视为推动技术进步的核心要素，设计出能够执行高度特定且协同功能的材料正变得日益紧迫。”吴骊珠表示，MOF所体现的“功能导向设计”理念为解决诸多挑战提供了广阔的平台。</w:t>
      </w:r>
    </w:p>
    <w:p>
      <w:pPr>
        <w:rPr>
          <w:rFonts w:hint="eastAsia"/>
        </w:rPr>
      </w:pPr>
      <w:r>
        <w:rPr>
          <w:rFonts w:hint="eastAsia"/>
        </w:rPr>
        <w:t xml:space="preserve">    换言之，MOF为材料研究范式带来了“开窍”般的跃迁，新材料的研发从传统的依赖“筛选发现”迈入“分子设计”的新天地：科学家可以为吸附二氧化碳设计对碳分子有极强亲和力的孔洞表面；可以为储存氢气设计大小合适的纳米“储氢罐”；也可以为输送药物设计能在特定生理环境下释放药物的“智能载体”……本届诺贝尔化学奖正是对这一新范式的权威认证。诺贝尔化学奖委员会主席海纳·林克评价说，MOF具有巨大的潜力，为定制具有新功能的材料带来了以前无法预见的机会。</w:t>
      </w:r>
    </w:p>
    <w:p>
      <w:pPr>
        <w:rPr>
          <w:rFonts w:hint="eastAsia"/>
        </w:rPr>
      </w:pPr>
      <w:r>
        <w:rPr>
          <w:rFonts w:hint="eastAsia"/>
        </w:rPr>
        <w:t xml:space="preserve">    吴骊珠介绍，此次获奖的三位科学家理查德·罗布森、奥马尔·亚吉和北川进是MOF领域的奠基者。简言之，理查德·罗布森提供了搭建“分子乐高”的理论图纸；奥马尔·亚吉成功构筑了第一批稳定坚固的“乐高大厦”，证明其可行性；北川进率先发现MOF的孔道可以像“呼吸”一样响应外部刺激，动态吸附与释放分子。正如吴骊珠所评价：“伟大的科学领域既需要天马行空的想象，也需要扎实的实验验证，更需要发现意料之外的独特性质。”</w:t>
      </w:r>
    </w:p>
    <w:p>
      <w:pPr>
        <w:rPr>
          <w:rFonts w:hint="eastAsia"/>
        </w:rPr>
      </w:pPr>
      <w:r>
        <w:rPr>
          <w:rFonts w:hint="eastAsia"/>
        </w:rPr>
        <w:t xml:space="preserve">    MOF的魅力也触动了产业的神经。蓝廷新能源科技（浙江）有限公司（下称蓝廷公司）董事长兼首席科学家吴大勇认为此次授奖实至名归：“MOF的晶体结构本身就极具美感，合成过程更是像‘组装’积木一样有趣。从一开始接触MOF，我就对它情有独钟。”</w:t>
      </w:r>
    </w:p>
    <w:p>
      <w:pPr>
        <w:rPr>
          <w:rFonts w:hint="eastAsia"/>
        </w:rPr>
      </w:pPr>
      <w:r>
        <w:rPr>
          <w:rFonts w:hint="eastAsia"/>
        </w:rPr>
        <w:t xml:space="preserve">    记者注意到，也有一些MOF研究者存在质疑：大量的MOF研究是否只是“纸上谈兵”？</w:t>
      </w:r>
    </w:p>
    <w:p>
      <w:pPr>
        <w:ind w:firstLine="420"/>
        <w:rPr>
          <w:rFonts w:hint="eastAsia"/>
        </w:rPr>
      </w:pPr>
      <w:r>
        <w:rPr>
          <w:rFonts w:hint="eastAsia"/>
        </w:rPr>
        <w:t>在吴大勇看来，这是因为部分工作仍然停留在初级阶段。“MOF的合成门槛并不高。一些研究仅停留在根据文献合成材料，缺乏充分的表征和机理研究，更不考虑产率与成本，这样的工作距离真正的产业化应用还很遥远。”他说。</w:t>
      </w:r>
    </w:p>
    <w:p>
      <w:pPr>
        <w:ind w:firstLine="420"/>
        <w:rPr>
          <w:rFonts w:hint="eastAsia"/>
        </w:rPr>
      </w:pPr>
    </w:p>
    <w:p>
      <w:pPr>
        <w:rPr>
          <w:rFonts w:hint="eastAsia" w:ascii="黑体" w:hAnsi="黑体" w:eastAsia="黑体" w:cs="黑体"/>
          <w:sz w:val="24"/>
          <w:szCs w:val="24"/>
        </w:rPr>
      </w:pPr>
      <w:r>
        <w:rPr>
          <w:rFonts w:hint="eastAsia" w:ascii="黑体" w:hAnsi="黑体" w:eastAsia="黑体" w:cs="黑体"/>
          <w:sz w:val="24"/>
          <w:szCs w:val="24"/>
        </w:rPr>
        <w:t>产业“开窍”</w:t>
      </w:r>
    </w:p>
    <w:p>
      <w:pPr>
        <w:rPr>
          <w:rFonts w:hint="eastAsia" w:ascii="黑体" w:hAnsi="黑体" w:eastAsia="黑体" w:cs="黑体"/>
          <w:sz w:val="24"/>
          <w:szCs w:val="24"/>
        </w:rPr>
      </w:pPr>
      <w:r>
        <w:rPr>
          <w:rFonts w:hint="eastAsia" w:ascii="黑体" w:hAnsi="黑体" w:eastAsia="黑体" w:cs="黑体"/>
          <w:sz w:val="24"/>
          <w:szCs w:val="24"/>
        </w:rPr>
        <w:t>穿过荆棘，应用破壁眺见曙光</w:t>
      </w:r>
    </w:p>
    <w:p>
      <w:pPr>
        <w:rPr>
          <w:rFonts w:hint="eastAsia"/>
        </w:rPr>
      </w:pPr>
    </w:p>
    <w:p>
      <w:pPr>
        <w:rPr>
          <w:rFonts w:hint="eastAsia"/>
        </w:rPr>
      </w:pPr>
      <w:r>
        <w:rPr>
          <w:rFonts w:hint="eastAsia"/>
        </w:rPr>
        <w:t xml:space="preserve">    资料显示，科学家设计的MOF结构目前已超过10万种，其在气体存储与分离、能源与催化、环境治理与资源回收、生物医药等领域应用研究成果颇多，展现出良好前景。国内外产业界也进行了一些尝试。但整体而言，MOF产业化应用仍裹足不前，也因此遭到不少诟病，甚至被质疑为“概念神”。</w:t>
      </w:r>
    </w:p>
    <w:p>
      <w:pPr>
        <w:rPr>
          <w:rFonts w:hint="eastAsia"/>
        </w:rPr>
      </w:pPr>
      <w:r>
        <w:rPr>
          <w:rFonts w:hint="eastAsia"/>
        </w:rPr>
        <w:t xml:space="preserve">    “MOF的大规模工业化落地不仅仅是材料层面的问题，而是一个穿透成本结构、技术路线的优化过程。”吴骊珠分析说，成本问题始终是制约其走出实验室的第一道门槛。目前可规模化制备的MOF价格大多集中在11~17美元/千克，其中以配体（如均苯三甲酸、咪唑类）与金属源（如锆盐、铝盐）为主的原材料成本占比超过60%。其次是稳定性和寿命问题。面对高温、高湿、多杂质、低浓度等严苛工况下的实战考验，MOF材料是否具备工程适配性与长期运行能力，直接决定其能否走出实验室、登上产业舞台。</w:t>
      </w:r>
    </w:p>
    <w:p>
      <w:pPr>
        <w:rPr>
          <w:rFonts w:hint="eastAsia"/>
        </w:rPr>
      </w:pPr>
      <w:r>
        <w:rPr>
          <w:rFonts w:hint="eastAsia"/>
        </w:rPr>
        <w:t xml:space="preserve">    吴骊珠认为，MOF材料的前景是光明的，目前正是从“实验室研究”走向“工业场景应用”的关键时期。</w:t>
      </w:r>
    </w:p>
    <w:p>
      <w:pPr>
        <w:rPr>
          <w:rFonts w:hint="eastAsia"/>
        </w:rPr>
      </w:pPr>
      <w:r>
        <w:rPr>
          <w:rFonts w:hint="eastAsia"/>
        </w:rPr>
        <w:t xml:space="preserve">    吴大勇对此也十分笃定：“MOF理论上数量近乎无限，可以根据需求定制，在电池、医药等特定领域作用突出，而且专利保护明确、不易模仿，这是我一直坚持做MOF产业化的信心。”</w:t>
      </w:r>
    </w:p>
    <w:p>
      <w:pPr>
        <w:rPr>
          <w:rFonts w:hint="eastAsia"/>
        </w:rPr>
      </w:pPr>
      <w:r>
        <w:rPr>
          <w:rFonts w:hint="eastAsia"/>
        </w:rPr>
        <w:t xml:space="preserve">    2023年10月，国际化工巨头巴斯夫首次实现MOF材料商业化规模生产。仅两个多月后，蓝廷公司也建成MOF材料中试生产线，完成了从实验室克级合成向批量生产的技术跨越（详见本报2024年1月16日头版头条报道）。据悉，该公司MOF材料产能今年将扩至百吨级。</w:t>
      </w:r>
    </w:p>
    <w:p>
      <w:pPr>
        <w:rPr>
          <w:rFonts w:hint="eastAsia"/>
        </w:rPr>
      </w:pPr>
      <w:r>
        <w:rPr>
          <w:rFonts w:hint="eastAsia"/>
        </w:rPr>
        <w:t xml:space="preserve">    前路或有荆棘，但MOF发展的曙光已现。吴大勇指出，寻找“非它莫属”的应用场景成为突破口。在锂离子电池、半导体精密过滤等成本不敏感但性能要求高的领域，MOF的作用机制明确且附加值显著，大有“用武之地”。仅在电池这一赛道，其市场规模就超过百亿元。目前，蓝廷公司已成功筛选出6种兼具高产率与优异性能的MOF材料，产率均超过95%，经验证用于电池中效果显著，后续将按计划投入量产。该公司还与东峰集团就固态电池关键材料固态电解质及半固态复合隔膜的研发和生产达成合作。</w:t>
      </w:r>
    </w:p>
    <w:p>
      <w:pPr>
        <w:rPr>
          <w:rFonts w:hint="eastAsia"/>
        </w:rPr>
      </w:pPr>
      <w:r>
        <w:rPr>
          <w:rFonts w:hint="eastAsia"/>
        </w:rPr>
        <w:t xml:space="preserve">    中国石油和化学工业联合会（下称中国石化联）科技项目处副处长曾春阳表示，根据中国石化联对行业科技发展的跟踪，MOF已在多个领域取得中试阶段的验证应用。在半导体领域，MOF基过滤材料使生产商年度滤材成本下降40%以上‌。在碳捕集领域，MOF在吸附容量、选择性和再生能耗等方面表现出色，显著优于传统的胺吸收法，考虑到热能需求、设备腐蚀等因素，仍有一定的经济性。曾春阳认为，通过开发新型廉价配体和优化工艺，MOF有望在石油化工、钢铁、煤电等多个行业推广应用。</w:t>
      </w:r>
    </w:p>
    <w:p>
      <w:pPr>
        <w:ind w:firstLine="420"/>
        <w:rPr>
          <w:rFonts w:hint="eastAsia"/>
        </w:rPr>
      </w:pPr>
      <w:r>
        <w:rPr>
          <w:rFonts w:hint="eastAsia"/>
        </w:rPr>
        <w:t>资本市场也闻风而动。“诺奖消息给一级市场带来了鼓舞，最近谈及这一技术领域的投资人明显变多了。”中科创星科技投资有限公司合伙人郭鑫谈道，这让创业公司有可能获得更充足的资金，从而加速商业化进程。</w:t>
      </w:r>
    </w:p>
    <w:p>
      <w:pPr>
        <w:ind w:firstLine="420"/>
        <w:rPr>
          <w:rFonts w:hint="eastAsia"/>
        </w:rPr>
      </w:pPr>
    </w:p>
    <w:p>
      <w:pPr>
        <w:rPr>
          <w:rFonts w:hint="eastAsia" w:ascii="黑体" w:hAnsi="黑体" w:eastAsia="黑体" w:cs="黑体"/>
          <w:sz w:val="24"/>
          <w:szCs w:val="24"/>
        </w:rPr>
      </w:pPr>
      <w:r>
        <w:rPr>
          <w:rFonts w:hint="eastAsia" w:ascii="黑体" w:hAnsi="黑体" w:eastAsia="黑体" w:cs="黑体"/>
          <w:sz w:val="24"/>
          <w:szCs w:val="24"/>
        </w:rPr>
        <w:t>生态“开窍”</w:t>
      </w:r>
    </w:p>
    <w:p>
      <w:pPr>
        <w:rPr>
          <w:rFonts w:hint="eastAsia" w:ascii="黑体" w:hAnsi="黑体" w:eastAsia="黑体" w:cs="黑体"/>
          <w:sz w:val="24"/>
          <w:szCs w:val="24"/>
        </w:rPr>
      </w:pPr>
      <w:r>
        <w:rPr>
          <w:rFonts w:hint="eastAsia" w:ascii="黑体" w:hAnsi="黑体" w:eastAsia="黑体" w:cs="黑体"/>
          <w:sz w:val="24"/>
          <w:szCs w:val="24"/>
        </w:rPr>
        <w:t>把握机遇，全球竞赛已然鸣枪</w:t>
      </w:r>
    </w:p>
    <w:p>
      <w:pPr>
        <w:rPr>
          <w:rFonts w:hint="eastAsia"/>
        </w:rPr>
      </w:pPr>
      <w:r>
        <w:rPr>
          <w:rFonts w:hint="eastAsia"/>
        </w:rPr>
        <w:t xml:space="preserve">    科学界在感叹一个时代的开启，产业界已闻到硝烟的气息。全球竞赛的枪声响起，不少人在问：“我国处于什么位置？”</w:t>
      </w:r>
    </w:p>
    <w:p>
      <w:pPr>
        <w:rPr>
          <w:rFonts w:hint="eastAsia"/>
        </w:rPr>
      </w:pPr>
      <w:r>
        <w:rPr>
          <w:rFonts w:hint="eastAsia"/>
        </w:rPr>
        <w:t xml:space="preserve">    吴骊珠告诉记者，在MOF的研究与应用领域，我国从业人员广泛、人才储备完善、技术发展快速，已构建起“基础研究—技术开发—产业应用”的全链条创新体系。</w:t>
      </w:r>
    </w:p>
    <w:p>
      <w:pPr>
        <w:rPr>
          <w:rFonts w:hint="eastAsia"/>
        </w:rPr>
      </w:pPr>
      <w:r>
        <w:rPr>
          <w:rFonts w:hint="eastAsia"/>
        </w:rPr>
        <w:t xml:space="preserve">    据介绍，我国早在2012年“国家重点基础研究发展计划”（简称“973计划”）项目清单中就立项支持“有机分子基框架多孔材料的前沿研究”，将其纳入国家层面战略布局。我国学者在材料设计、合成及应用探索方面取得显著成果，并发表于《自然》《科学》等国际顶级期刊。在MOF产业化领域，我国也处于国际领先水平。</w:t>
      </w:r>
    </w:p>
    <w:p>
      <w:pPr>
        <w:rPr>
          <w:rFonts w:hint="eastAsia"/>
        </w:rPr>
      </w:pPr>
      <w:r>
        <w:rPr>
          <w:rFonts w:hint="eastAsia"/>
        </w:rPr>
        <w:t xml:space="preserve">    “十五五”期间，我国在MOF材料领域应如何把握发展机遇？吴骊珠认为，从战略层面看，需在三方面强化研发布局：一是攻克材料稳定性与耐久性难题，使其在严苛的应用环境中保持稳定；二是构建绿色循环技术体系，尤其是开发低成本与低能耗的合成、回收技术，并进一步遏制合成与应用过程中对环境的潜在污染，推广绿色工艺；三是推动跨学科融合与人工智能（AI）赋能，结合AI与高通量计算，加速新型MOF的定制化设计，以实现其结构与应用的最佳匹配。</w:t>
      </w:r>
    </w:p>
    <w:p>
      <w:pPr>
        <w:rPr>
          <w:rFonts w:hint="eastAsia"/>
        </w:rPr>
      </w:pPr>
      <w:r>
        <w:rPr>
          <w:rFonts w:hint="eastAsia"/>
        </w:rPr>
        <w:t xml:space="preserve">    曾春阳从产业发展角度提出建议：一是加速与AI技术融合，建立MOF材料数据库，实现快速准确的实验模拟，降低研发成本；二是在“双碳”目标和行业绿色转型升级任务下，结合政策导向做好不同行业需求的技术协同创新；三是在技术研发上进一步突破制备质量和导电性优化等瓶颈，同时做好知识产权布局。</w:t>
      </w:r>
    </w:p>
    <w:p>
      <w:pPr>
        <w:rPr>
          <w:rFonts w:hint="eastAsia"/>
        </w:rPr>
      </w:pPr>
      <w:r>
        <w:rPr>
          <w:rFonts w:hint="eastAsia"/>
        </w:rPr>
        <w:t xml:space="preserve">    此外，面对MOF的“爆红”，吴大勇提醒要警惕“低水平内卷”。“一哄而上、大干快上只会造成资源浪费。当前关键在于沉心研究，让MOF真正解决产业痛点，创造产业价值。”他说。</w:t>
      </w:r>
    </w:p>
    <w:p>
      <w:pPr>
        <w:rPr>
          <w:rFonts w:hint="eastAsia"/>
        </w:rPr>
      </w:pPr>
      <w:r>
        <w:rPr>
          <w:rFonts w:hint="eastAsia"/>
        </w:rPr>
        <w:t xml:space="preserve">    从科学发现的荣誉殿堂走向产业应用的广阔天地，再到融入生态建设的国家战略，MOF在我国能否一路“开窍”呢？多位受访专家认为，在这场针对下一代技术制高点的角逐中，中国不再是旁观者，而是强有力的竞争者，并正凭借庞大的应用市场、强大的制造能力和坚定的政策支持，谋求成为未来产业格局的深度定义者。这与吴骊珠院士的心声不谋而合：“作为一名科研人员，我聚焦于如何借此契机推动中国材料科学走向深层创新——从定义未来方向到解决实际难题，最终让科学服务于人类福祉。”</w:t>
      </w:r>
    </w:p>
    <w:p>
      <w:pPr>
        <w:rPr>
          <w:rFonts w:hint="eastAsia"/>
        </w:rPr>
      </w:pPr>
      <w:r>
        <w:rPr>
          <w:rFonts w:hint="eastAsia"/>
        </w:rPr>
        <w:t xml:space="preserve">    </w:t>
      </w:r>
    </w:p>
    <w:p>
      <w:pPr>
        <w:rPr>
          <w:rFonts w:hint="eastAsia" w:eastAsia="宋体"/>
          <w:lang w:eastAsia="zh-CN"/>
        </w:rPr>
      </w:pPr>
      <w:r>
        <w:rPr>
          <w:rFonts w:hint="eastAsia"/>
          <w:lang w:eastAsia="zh-CN"/>
        </w:rPr>
        <w:t>【</w:t>
      </w:r>
      <w:r>
        <w:rPr>
          <w:rFonts w:hint="eastAsia"/>
        </w:rPr>
        <w:t>记者手记</w:t>
      </w:r>
      <w:r>
        <w:rPr>
          <w:rFonts w:hint="eastAsia"/>
          <w:lang w:eastAsia="zh-CN"/>
        </w:rPr>
        <w:t>】</w:t>
      </w:r>
    </w:p>
    <w:p>
      <w:pPr>
        <w:keepNext w:val="0"/>
        <w:keepLines w:val="0"/>
        <w:pageBreakBefore w:val="0"/>
        <w:widowControl w:val="0"/>
        <w:kinsoku/>
        <w:wordWrap/>
        <w:overflowPunct/>
        <w:topLinePunct w:val="0"/>
        <w:autoSpaceDE/>
        <w:autoSpaceDN/>
        <w:bidi w:val="0"/>
        <w:adjustRightInd/>
        <w:snapToGrid/>
        <w:spacing w:after="157" w:afterLines="50"/>
        <w:jc w:val="center"/>
        <w:textAlignment w:val="auto"/>
        <w:rPr>
          <w:rFonts w:hint="eastAsia" w:ascii="黑体" w:hAnsi="黑体" w:eastAsia="黑体" w:cs="黑体"/>
          <w:sz w:val="24"/>
          <w:szCs w:val="24"/>
        </w:rPr>
      </w:pPr>
      <w:r>
        <w:rPr>
          <w:rFonts w:hint="eastAsia" w:ascii="黑体" w:hAnsi="黑体" w:eastAsia="黑体" w:cs="黑体"/>
          <w:sz w:val="24"/>
          <w:szCs w:val="24"/>
        </w:rPr>
        <w:t>“热关注”与“冷思考”</w:t>
      </w:r>
    </w:p>
    <w:p>
      <w:pPr>
        <w:rPr>
          <w:rFonts w:hint="eastAsia" w:ascii="楷体" w:hAnsi="楷体" w:eastAsia="楷体" w:cs="楷体"/>
        </w:rPr>
      </w:pPr>
      <w:r>
        <w:rPr>
          <w:rFonts w:hint="eastAsia" w:ascii="楷体" w:hAnsi="楷体" w:eastAsia="楷体" w:cs="楷体"/>
        </w:rPr>
        <w:t xml:space="preserve">    诺贝尔化学奖揭晓的那一刻，我手机里的行业微信群仿佛投入了一颗深水炸弹，朋友圈也开始刷屏，信息的洪流奔涌而至。是的，斯德哥尔摩的加冕，为MOF领域带来了前所未有的热潮。但当我踏上采访之路与科学界、产业界专家对话时，却感受到截然不同的冷静。这种“热”与“冷”的对比，成为此次采访中最深刻的体验。</w:t>
      </w:r>
    </w:p>
    <w:p>
      <w:pPr>
        <w:rPr>
          <w:rFonts w:hint="eastAsia" w:ascii="楷体" w:hAnsi="楷体" w:eastAsia="楷体" w:cs="楷体"/>
        </w:rPr>
      </w:pPr>
      <w:r>
        <w:rPr>
          <w:rFonts w:hint="eastAsia" w:ascii="楷体" w:hAnsi="楷体" w:eastAsia="楷体" w:cs="楷体"/>
        </w:rPr>
        <w:t xml:space="preserve">    这是一次穿行于冰火之间的报道。一边是市场与公众被诺奖瞬间点燃的“热关注”，正在网络世界迅速蔓延；另一边则是来自实验室与中试车间沉甸甸的“冷思考”，正计算着产业化之路的距离。</w:t>
      </w:r>
    </w:p>
    <w:p>
      <w:pPr>
        <w:rPr>
          <w:rFonts w:hint="eastAsia" w:ascii="楷体" w:hAnsi="楷体" w:eastAsia="楷体" w:cs="楷体"/>
        </w:rPr>
      </w:pPr>
      <w:r>
        <w:rPr>
          <w:rFonts w:hint="eastAsia" w:ascii="楷体" w:hAnsi="楷体" w:eastAsia="楷体" w:cs="楷体"/>
        </w:rPr>
        <w:t xml:space="preserve">    吴骊珠院士谈到MOF前景时用的是“光明”，但更重点提及的是需要解决的问题。她条分缕析，陈述产业化核心瓶颈，每一个判断都像晶体培养一般，力求精确、严谨，这是数十年科研积淀而成的职业素养。在科研和产业一线同时深耕的吴大勇先生毫不掩饰对MOF的“情有独钟”，但当谈及产业化，他的语气立刻变得朴实甚至“锋利”，强调要沉心研究，寻找“非它莫属”的价值锚点，并用生产线上的成绩说话。</w:t>
      </w:r>
    </w:p>
    <w:p>
      <w:pPr>
        <w:rPr>
          <w:rFonts w:hint="eastAsia" w:ascii="楷体" w:hAnsi="楷体" w:eastAsia="楷体" w:cs="楷体"/>
        </w:rPr>
      </w:pPr>
      <w:r>
        <w:rPr>
          <w:rFonts w:hint="eastAsia" w:ascii="楷体" w:hAnsi="楷体" w:eastAsia="楷体" w:cs="楷体"/>
        </w:rPr>
        <w:t xml:space="preserve">    当然，我也没忘记那些尖锐的质疑，甚至大胆让它们成为这篇报道的一条暗线。一个领域能否行稳致远，不在于它被捧上神坛时有多耀眼，而在于它面对质疑时有多坚韧。北川进教授发现MOF孔道会“呼吸”，这充满了科学的浪漫。如今，中国的科学界与产业界，正努力让MOF能够平稳、持久、经济地在工业中“呼吸”。</w:t>
      </w:r>
    </w:p>
    <w:p>
      <w:pPr>
        <w:rPr>
          <w:rFonts w:hint="eastAsia" w:ascii="楷体" w:hAnsi="楷体" w:eastAsia="楷体" w:cs="楷体"/>
        </w:rPr>
      </w:pPr>
      <w:r>
        <w:rPr>
          <w:rFonts w:hint="eastAsia" w:ascii="楷体" w:hAnsi="楷体" w:eastAsia="楷体" w:cs="楷体"/>
        </w:rPr>
        <w:t xml:space="preserve">    诺奖的聚光灯终会熄灭，但产业的长跑才刚刚开始。在这场全球竞赛中，我看到的中国身影，既有仰望星空的热情，更有脚踩大地的冷静。这或许是我们竞争“深度定义者”的最大底气。</w:t>
      </w:r>
    </w:p>
    <w:p>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429D36F-BE09-4703-A814-9FF7A4C18841}"/>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楷体">
    <w:panose1 w:val="02010609060101010101"/>
    <w:charset w:val="86"/>
    <w:family w:val="modern"/>
    <w:pitch w:val="default"/>
    <w:sig w:usb0="800002BF" w:usb1="38CF7CFA" w:usb2="00000016" w:usb3="00000000" w:csb0="00040001" w:csb1="00000000"/>
    <w:embedRegular r:id="rId2" w:fontKey="{CCD987FC-898A-46E3-8C47-07DD0921133C}"/>
  </w:font>
  <w:font w:name="华文仿宋">
    <w:panose1 w:val="02010600040101010101"/>
    <w:charset w:val="86"/>
    <w:family w:val="auto"/>
    <w:pitch w:val="default"/>
    <w:sig w:usb0="00000287" w:usb1="080F0000" w:usb2="00000000" w:usb3="00000000" w:csb0="0004009F" w:csb1="DFD70000"/>
    <w:embedRegular r:id="rId3" w:fontKey="{3E116317-DFF8-4602-82F9-9848E8E31D1C}"/>
  </w:font>
  <w:font w:name="华文中宋">
    <w:panose1 w:val="02010600040101010101"/>
    <w:charset w:val="86"/>
    <w:family w:val="auto"/>
    <w:pitch w:val="default"/>
    <w:sig w:usb0="00000287" w:usb1="080F0000" w:usb2="00000000" w:usb3="00000000" w:csb0="0004009F" w:csb1="DFD70000"/>
    <w:embedRegular r:id="rId4" w:fontKey="{C3A785EE-F191-4C38-9C52-39E6659546EE}"/>
  </w:font>
  <w:font w:name="仿宋_GB2312">
    <w:panose1 w:val="02010609030101010101"/>
    <w:charset w:val="86"/>
    <w:family w:val="modern"/>
    <w:pitch w:val="default"/>
    <w:sig w:usb0="00000001" w:usb1="080E0000" w:usb2="00000000" w:usb3="00000000" w:csb0="00040000" w:csb1="00000000"/>
    <w:embedRegular r:id="rId5" w:fontKey="{CAC4B5D6-5BCF-45C8-8719-74B4710B525B}"/>
  </w:font>
  <w:font w:name="仿宋">
    <w:panose1 w:val="02010609060101010101"/>
    <w:charset w:val="86"/>
    <w:family w:val="modern"/>
    <w:pitch w:val="default"/>
    <w:sig w:usb0="800002BF" w:usb1="38CF7CFA" w:usb2="00000016" w:usb3="00000000" w:csb0="00040001" w:csb1="00000000"/>
    <w:embedRegular r:id="rId6" w:fontKey="{FA317611-91B8-415C-A1EB-4619F584C83A}"/>
  </w:font>
  <w:font w:name="方正小标宋简体">
    <w:panose1 w:val="02000000000000000000"/>
    <w:charset w:val="86"/>
    <w:family w:val="auto"/>
    <w:pitch w:val="default"/>
    <w:sig w:usb0="00000001" w:usb1="08000000" w:usb2="00000000" w:usb3="00000000" w:csb0="00040000" w:csb1="00000000"/>
    <w:embedRegular r:id="rId7" w:fontKey="{37F247C2-AC0C-450E-88D3-EAC68C0B60EB}"/>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ZiY2JkZTNlNzE1ODc5NDkxNzM3YThlNzQ1MzM4NzAifQ=="/>
  </w:docVars>
  <w:rsids>
    <w:rsidRoot w:val="2BB74442"/>
    <w:rsid w:val="11A00C17"/>
    <w:rsid w:val="1C164D95"/>
    <w:rsid w:val="275F6D2E"/>
    <w:rsid w:val="2BB74442"/>
    <w:rsid w:val="2F1F0B51"/>
    <w:rsid w:val="34C06611"/>
    <w:rsid w:val="3CA151C6"/>
    <w:rsid w:val="3F5C5EDD"/>
    <w:rsid w:val="4250582B"/>
    <w:rsid w:val="42701998"/>
    <w:rsid w:val="4B8D464C"/>
    <w:rsid w:val="6017124D"/>
    <w:rsid w:val="68C06D53"/>
    <w:rsid w:val="6DD773F8"/>
    <w:rsid w:val="6F0461C0"/>
    <w:rsid w:val="760650DC"/>
    <w:rsid w:val="7B7900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rPr>
      <w:sz w:val="24"/>
    </w:rPr>
  </w:style>
  <w:style w:type="character" w:styleId="5">
    <w:name w:val="Strong"/>
    <w:basedOn w:val="4"/>
    <w:qFormat/>
    <w:uiPriority w:val="0"/>
    <w:rPr>
      <w:b/>
    </w:rPr>
  </w:style>
  <w:style w:type="character" w:styleId="6">
    <w:name w:val="Hyperlink"/>
    <w:basedOn w:val="4"/>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5092</Words>
  <Characters>5503</Characters>
  <Lines>0</Lines>
  <Paragraphs>0</Paragraphs>
  <TotalTime>55</TotalTime>
  <ScaleCrop>false</ScaleCrop>
  <LinksUpToDate>false</LinksUpToDate>
  <CharactersWithSpaces>5716</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2026-03-11T01:56:00Z</dcterms:created>
  <dc:creator>BurnTheSun</dc:creator>
  <cp:lastModifiedBy>李东周</cp:lastModifiedBy>
  <dcterms:modified xsi:type="dcterms:W3CDTF">2026-04-01T11:23:55Z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6F5DD83E91654519B71AD82A4E085B41_11</vt:lpwstr>
  </property>
  <property fmtid="{D5CDD505-2E9C-101B-9397-08002B2CF9AE}" pid="4" name="KSOTemplateDocerSaveRecord">
    <vt:lpwstr>eyJoZGlkIjoiNDI1NGQ4MDY4NjMxYWVlMzc3ODM2NDE0MmU1ODUxYzYiLCJ1c2VySWQiOiIxMjA3MjQwNzgwIn0=</vt:lpwstr>
  </property>
</Properties>
</file>