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F" w:rsidRPr="00644AC0" w:rsidRDefault="009C03EF" w:rsidP="008F0C71">
      <w:pPr>
        <w:spacing w:afterLines="50" w:line="360" w:lineRule="exact"/>
        <w:ind w:firstLine="72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644AC0">
        <w:rPr>
          <w:rFonts w:ascii="华文中宋" w:eastAsia="华文中宋" w:hAnsi="华文中宋" w:hint="eastAsia"/>
          <w:color w:val="000000"/>
          <w:sz w:val="36"/>
          <w:szCs w:val="36"/>
        </w:rPr>
        <w:t>中国新闻奖参评作品推荐表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50"/>
        <w:gridCol w:w="1109"/>
        <w:gridCol w:w="1559"/>
        <w:gridCol w:w="1559"/>
        <w:gridCol w:w="851"/>
        <w:gridCol w:w="567"/>
        <w:gridCol w:w="2551"/>
      </w:tblGrid>
      <w:tr w:rsidR="009C03EF" w:rsidRPr="00644AC0" w:rsidTr="00887F97">
        <w:trPr>
          <w:cantSplit/>
          <w:trHeight w:hRule="exact" w:val="434"/>
        </w:trPr>
        <w:tc>
          <w:tcPr>
            <w:tcW w:w="1551" w:type="dxa"/>
            <w:gridSpan w:val="2"/>
            <w:vMerge w:val="restart"/>
            <w:vAlign w:val="center"/>
          </w:tcPr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227" w:type="dxa"/>
            <w:gridSpan w:val="3"/>
            <w:vMerge w:val="restart"/>
            <w:vAlign w:val="center"/>
          </w:tcPr>
          <w:p w:rsidR="009C03EF" w:rsidRPr="00351135" w:rsidRDefault="00351135" w:rsidP="00137AD5">
            <w:pPr>
              <w:spacing w:line="380" w:lineRule="exact"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  <w:r w:rsidRPr="00351135">
              <w:rPr>
                <w:rFonts w:ascii="华文中宋" w:eastAsia="华文中宋" w:hAnsi="华文中宋" w:hint="eastAsia"/>
                <w:color w:val="000000"/>
                <w:sz w:val="24"/>
              </w:rPr>
              <w:t>丽水发文禁用草甘膦引行业热议</w:t>
            </w:r>
          </w:p>
        </w:tc>
        <w:tc>
          <w:tcPr>
            <w:tcW w:w="1418" w:type="dxa"/>
            <w:gridSpan w:val="2"/>
            <w:vAlign w:val="center"/>
          </w:tcPr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551" w:type="dxa"/>
            <w:vAlign w:val="center"/>
          </w:tcPr>
          <w:p w:rsidR="009C03EF" w:rsidRPr="005A6359" w:rsidRDefault="00137AD5" w:rsidP="005A635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消息</w:t>
            </w:r>
          </w:p>
        </w:tc>
      </w:tr>
      <w:tr w:rsidR="009C03EF" w:rsidRPr="00644AC0" w:rsidTr="008F0C71">
        <w:trPr>
          <w:cantSplit/>
          <w:trHeight w:hRule="exact" w:val="430"/>
        </w:trPr>
        <w:tc>
          <w:tcPr>
            <w:tcW w:w="1551" w:type="dxa"/>
            <w:gridSpan w:val="2"/>
            <w:vMerge/>
            <w:vAlign w:val="center"/>
          </w:tcPr>
          <w:p w:rsidR="009C03EF" w:rsidRPr="00644AC0" w:rsidRDefault="009C03EF" w:rsidP="00887F9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9C03EF" w:rsidRPr="00644AC0" w:rsidRDefault="009C03EF" w:rsidP="00887F9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118" w:type="dxa"/>
            <w:gridSpan w:val="2"/>
            <w:vAlign w:val="center"/>
          </w:tcPr>
          <w:p w:rsidR="009C03EF" w:rsidRPr="00644AC0" w:rsidRDefault="005A6359" w:rsidP="00887F97">
            <w:pPr>
              <w:spacing w:line="260" w:lineRule="exact"/>
              <w:rPr>
                <w:rFonts w:ascii="仿宋_GB2312" w:eastAsia="仿宋_GB2312" w:hAnsi="仿宋"/>
                <w:color w:val="000000"/>
                <w:sz w:val="28"/>
              </w:rPr>
            </w:pPr>
            <w:r w:rsidRPr="00400390">
              <w:rPr>
                <w:rFonts w:ascii="华文中宋" w:eastAsia="华文中宋" w:hAnsi="华文中宋" w:hint="eastAsia"/>
                <w:color w:val="000000"/>
                <w:sz w:val="24"/>
              </w:rPr>
              <w:t>消息</w:t>
            </w:r>
          </w:p>
        </w:tc>
      </w:tr>
      <w:tr w:rsidR="009C03EF" w:rsidRPr="00644AC0" w:rsidTr="00887F97">
        <w:trPr>
          <w:cantSplit/>
          <w:trHeight w:hRule="exact" w:val="412"/>
        </w:trPr>
        <w:tc>
          <w:tcPr>
            <w:tcW w:w="1551" w:type="dxa"/>
            <w:gridSpan w:val="2"/>
            <w:vMerge/>
            <w:vAlign w:val="center"/>
          </w:tcPr>
          <w:p w:rsidR="009C03EF" w:rsidRPr="00644AC0" w:rsidRDefault="009C03EF" w:rsidP="00887F9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9C03EF" w:rsidRPr="00644AC0" w:rsidRDefault="009C03EF" w:rsidP="00887F9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118" w:type="dxa"/>
            <w:gridSpan w:val="2"/>
            <w:vAlign w:val="center"/>
          </w:tcPr>
          <w:p w:rsidR="009C03EF" w:rsidRPr="00644AC0" w:rsidRDefault="005A6359" w:rsidP="005A6359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5A6359">
              <w:rPr>
                <w:rFonts w:ascii="华文中宋" w:eastAsia="华文中宋" w:hAnsi="华文中宋" w:hint="eastAsia"/>
                <w:color w:val="000000"/>
                <w:sz w:val="28"/>
              </w:rPr>
              <w:t>中文</w:t>
            </w:r>
          </w:p>
        </w:tc>
      </w:tr>
      <w:tr w:rsidR="009C03EF" w:rsidRPr="00644AC0" w:rsidTr="00887F97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9C03EF" w:rsidRPr="00644AC0" w:rsidRDefault="009C03EF" w:rsidP="00887F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9C03EF" w:rsidRPr="00644AC0" w:rsidRDefault="009C03EF" w:rsidP="00887F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68" w:type="dxa"/>
            <w:gridSpan w:val="2"/>
            <w:vAlign w:val="center"/>
          </w:tcPr>
          <w:p w:rsidR="009C03EF" w:rsidRPr="00644AC0" w:rsidRDefault="005A6359" w:rsidP="00400390">
            <w:pPr>
              <w:spacing w:line="38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  <w:r w:rsidRPr="00400390">
              <w:rPr>
                <w:rFonts w:ascii="华文中宋" w:eastAsia="华文中宋" w:hAnsi="华文中宋" w:hint="eastAsia"/>
                <w:color w:val="000000"/>
                <w:sz w:val="24"/>
              </w:rPr>
              <w:t>蒋善军 丁佳惠</w:t>
            </w:r>
          </w:p>
        </w:tc>
        <w:tc>
          <w:tcPr>
            <w:tcW w:w="1559" w:type="dxa"/>
            <w:vAlign w:val="center"/>
          </w:tcPr>
          <w:p w:rsidR="009C03EF" w:rsidRPr="00644AC0" w:rsidRDefault="009C03EF" w:rsidP="00887F97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969" w:type="dxa"/>
            <w:gridSpan w:val="3"/>
            <w:vAlign w:val="center"/>
          </w:tcPr>
          <w:p w:rsidR="009C03EF" w:rsidRPr="00644AC0" w:rsidRDefault="005A6359" w:rsidP="0040039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 w:rsidRPr="00400390">
              <w:rPr>
                <w:rFonts w:ascii="华文中宋" w:eastAsia="华文中宋" w:hAnsi="华文中宋" w:hint="eastAsia"/>
                <w:color w:val="000000"/>
                <w:sz w:val="24"/>
              </w:rPr>
              <w:t>蒋善军</w:t>
            </w:r>
          </w:p>
        </w:tc>
      </w:tr>
      <w:tr w:rsidR="009C03EF" w:rsidRPr="00644AC0" w:rsidTr="00887F97">
        <w:trPr>
          <w:cantSplit/>
          <w:trHeight w:val="767"/>
        </w:trPr>
        <w:tc>
          <w:tcPr>
            <w:tcW w:w="1551" w:type="dxa"/>
            <w:gridSpan w:val="2"/>
            <w:vAlign w:val="center"/>
          </w:tcPr>
          <w:p w:rsidR="009C03EF" w:rsidRPr="00644AC0" w:rsidRDefault="009C03EF" w:rsidP="00887F97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68" w:type="dxa"/>
            <w:gridSpan w:val="2"/>
            <w:vAlign w:val="center"/>
          </w:tcPr>
          <w:p w:rsidR="009C03EF" w:rsidRPr="00400390" w:rsidRDefault="005A6359" w:rsidP="001A0B8D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</w:rPr>
            </w:pPr>
            <w:r w:rsidRPr="00400390">
              <w:rPr>
                <w:rFonts w:ascii="华文中宋" w:eastAsia="华文中宋" w:hAnsi="华文中宋" w:hint="eastAsia"/>
                <w:color w:val="000000"/>
                <w:sz w:val="24"/>
              </w:rPr>
              <w:t>《中国化工报》社有限公司</w:t>
            </w:r>
          </w:p>
        </w:tc>
        <w:tc>
          <w:tcPr>
            <w:tcW w:w="1559" w:type="dxa"/>
            <w:vAlign w:val="center"/>
          </w:tcPr>
          <w:p w:rsidR="009C03EF" w:rsidRPr="00644AC0" w:rsidRDefault="009C03EF" w:rsidP="00887F97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3969" w:type="dxa"/>
            <w:gridSpan w:val="3"/>
            <w:vAlign w:val="center"/>
          </w:tcPr>
          <w:p w:rsidR="009C03EF" w:rsidRPr="00E948FE" w:rsidRDefault="005A6359" w:rsidP="001A0B8D">
            <w:pPr>
              <w:spacing w:line="2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  <w:highlight w:val="green"/>
              </w:rPr>
            </w:pPr>
            <w:r w:rsidRPr="00400390">
              <w:rPr>
                <w:rFonts w:ascii="华文中宋" w:eastAsia="华文中宋" w:hAnsi="华文中宋" w:hint="eastAsia"/>
                <w:color w:val="000000"/>
                <w:sz w:val="24"/>
              </w:rPr>
              <w:t>《中国化工报》社有限公司</w:t>
            </w:r>
          </w:p>
        </w:tc>
      </w:tr>
      <w:tr w:rsidR="009C03EF" w:rsidRPr="00644AC0" w:rsidTr="00887F97">
        <w:trPr>
          <w:cantSplit/>
          <w:trHeight w:hRule="exact" w:val="766"/>
        </w:trPr>
        <w:tc>
          <w:tcPr>
            <w:tcW w:w="1551" w:type="dxa"/>
            <w:gridSpan w:val="2"/>
            <w:vAlign w:val="center"/>
          </w:tcPr>
          <w:p w:rsidR="009C03EF" w:rsidRPr="002F6C90" w:rsidRDefault="009C03EF" w:rsidP="00887F97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 w:rsidRPr="00644AC0"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 w:rsidRPr="00644AC0"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68" w:type="dxa"/>
            <w:gridSpan w:val="2"/>
            <w:vAlign w:val="center"/>
          </w:tcPr>
          <w:p w:rsidR="004D2E5A" w:rsidRDefault="001A0B8D" w:rsidP="00887F97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</w:rPr>
            </w:pPr>
            <w:r w:rsidRPr="00400390">
              <w:rPr>
                <w:rFonts w:ascii="华文中宋" w:eastAsia="华文中宋" w:hAnsi="华文中宋" w:hint="eastAsia"/>
                <w:color w:val="000000"/>
                <w:sz w:val="24"/>
              </w:rPr>
              <w:t>《农资导报》</w:t>
            </w:r>
          </w:p>
          <w:p w:rsidR="009C03EF" w:rsidRPr="00400390" w:rsidRDefault="004D2E5A" w:rsidP="00887F97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 xml:space="preserve">行业新闻  </w:t>
            </w:r>
            <w:r w:rsidR="005A6359" w:rsidRPr="001A0B8D">
              <w:rPr>
                <w:rFonts w:ascii="华文中宋" w:eastAsia="华文中宋" w:hAnsi="华文中宋"/>
                <w:color w:val="000000"/>
                <w:sz w:val="24"/>
              </w:rPr>
              <w:t>A2版</w:t>
            </w:r>
          </w:p>
        </w:tc>
        <w:tc>
          <w:tcPr>
            <w:tcW w:w="1559" w:type="dxa"/>
            <w:vAlign w:val="center"/>
          </w:tcPr>
          <w:p w:rsidR="009C03EF" w:rsidRPr="00644AC0" w:rsidRDefault="009C03EF" w:rsidP="00887F97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3969" w:type="dxa"/>
            <w:gridSpan w:val="3"/>
            <w:vAlign w:val="center"/>
          </w:tcPr>
          <w:p w:rsidR="009C03EF" w:rsidRPr="00400390" w:rsidRDefault="005A6359" w:rsidP="00887F97">
            <w:pPr>
              <w:spacing w:line="260" w:lineRule="exact"/>
              <w:rPr>
                <w:rFonts w:eastAsia="仿宋_GB2312"/>
                <w:color w:val="000000"/>
                <w:szCs w:val="21"/>
              </w:rPr>
            </w:pPr>
            <w:r w:rsidRPr="00400390">
              <w:rPr>
                <w:rFonts w:eastAsia="华文中宋"/>
                <w:color w:val="000000"/>
                <w:sz w:val="28"/>
              </w:rPr>
              <w:t>2021</w:t>
            </w:r>
            <w:r w:rsidRPr="00400390">
              <w:rPr>
                <w:rFonts w:eastAsia="华文中宋"/>
                <w:color w:val="000000"/>
                <w:sz w:val="28"/>
              </w:rPr>
              <w:t>年</w:t>
            </w:r>
            <w:r w:rsidRPr="00400390">
              <w:rPr>
                <w:rFonts w:eastAsia="华文中宋"/>
                <w:color w:val="000000"/>
                <w:sz w:val="28"/>
              </w:rPr>
              <w:t>12</w:t>
            </w:r>
            <w:r w:rsidRPr="00400390">
              <w:rPr>
                <w:rFonts w:eastAsia="华文中宋"/>
                <w:color w:val="000000"/>
                <w:sz w:val="28"/>
              </w:rPr>
              <w:t>月</w:t>
            </w:r>
            <w:r w:rsidRPr="00400390">
              <w:rPr>
                <w:rFonts w:eastAsia="华文中宋"/>
                <w:color w:val="000000"/>
                <w:sz w:val="28"/>
              </w:rPr>
              <w:t>10</w:t>
            </w:r>
            <w:r w:rsidRPr="00400390">
              <w:rPr>
                <w:rFonts w:eastAsia="华文中宋"/>
                <w:color w:val="000000"/>
                <w:sz w:val="28"/>
              </w:rPr>
              <w:t>日</w:t>
            </w:r>
          </w:p>
        </w:tc>
      </w:tr>
      <w:tr w:rsidR="009C03EF" w:rsidRPr="00644AC0" w:rsidTr="000F28DB">
        <w:trPr>
          <w:cantSplit/>
          <w:trHeight w:hRule="exact" w:val="549"/>
        </w:trPr>
        <w:tc>
          <w:tcPr>
            <w:tcW w:w="2660" w:type="dxa"/>
            <w:gridSpan w:val="3"/>
            <w:vAlign w:val="center"/>
          </w:tcPr>
          <w:p w:rsidR="009C03EF" w:rsidRPr="0081340B" w:rsidRDefault="009C03EF" w:rsidP="00887F97">
            <w:pPr>
              <w:spacing w:line="240" w:lineRule="exact"/>
              <w:rPr>
                <w:rFonts w:ascii="华文中宋" w:eastAsia="华文中宋" w:hAnsi="华文中宋"/>
                <w:color w:val="000000"/>
                <w:w w:val="95"/>
                <w:sz w:val="28"/>
                <w:szCs w:val="28"/>
              </w:rPr>
            </w:pPr>
            <w:r w:rsidRPr="0081340B">
              <w:rPr>
                <w:rFonts w:ascii="华文中宋" w:eastAsia="华文中宋" w:hAnsi="华文中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7087" w:type="dxa"/>
            <w:gridSpan w:val="5"/>
            <w:vAlign w:val="center"/>
          </w:tcPr>
          <w:p w:rsidR="009C03EF" w:rsidRPr="00644AC0" w:rsidRDefault="009C03EF" w:rsidP="00887F97">
            <w:pPr>
              <w:spacing w:line="260" w:lineRule="exac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9C03EF" w:rsidRPr="00846A47" w:rsidTr="00887F97">
        <w:trPr>
          <w:cantSplit/>
          <w:trHeight w:val="3068"/>
        </w:trPr>
        <w:tc>
          <w:tcPr>
            <w:tcW w:w="1101" w:type="dxa"/>
            <w:vAlign w:val="center"/>
          </w:tcPr>
          <w:p w:rsidR="009C03EF" w:rsidRPr="00644AC0" w:rsidRDefault="009C03EF" w:rsidP="00887F97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9C03EF" w:rsidRPr="00644AC0" w:rsidRDefault="009C03EF" w:rsidP="00887F97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:rsidR="009C03EF" w:rsidRPr="00644AC0" w:rsidRDefault="009C03EF" w:rsidP="00887F97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:rsidR="009C03EF" w:rsidRPr="00644AC0" w:rsidRDefault="009C03EF" w:rsidP="00887F97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:rsidR="009C03EF" w:rsidRPr="00644AC0" w:rsidRDefault="009C03EF" w:rsidP="00887F97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:rsidR="009C03EF" w:rsidRPr="00644AC0" w:rsidRDefault="009C03EF" w:rsidP="00887F97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646" w:type="dxa"/>
            <w:gridSpan w:val="7"/>
          </w:tcPr>
          <w:p w:rsidR="00AB5E1B" w:rsidRDefault="008B56DD" w:rsidP="00846A47">
            <w:pPr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草甘膦</w:t>
            </w:r>
            <w:r w:rsidR="000560A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  <w:r w:rsidRPr="00367E87">
              <w:rPr>
                <w:rFonts w:ascii="仿宋" w:eastAsia="仿宋" w:hAnsi="仿宋" w:hint="eastAsia"/>
                <w:color w:val="000000"/>
                <w:szCs w:val="21"/>
              </w:rPr>
              <w:t>目前全球用量最多的农药品种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之一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，在我国农业除草中发挥了重要的作用。</w:t>
            </w:r>
            <w:r w:rsidR="005746FC">
              <w:rPr>
                <w:rFonts w:ascii="仿宋" w:eastAsia="仿宋" w:hAnsi="仿宋" w:hint="eastAsia"/>
                <w:color w:val="000000"/>
                <w:szCs w:val="21"/>
              </w:rPr>
              <w:t>2021年12月5日，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《农资导报》</w:t>
            </w:r>
            <w:r w:rsidR="005746FC">
              <w:rPr>
                <w:rFonts w:ascii="仿宋" w:eastAsia="仿宋" w:hAnsi="仿宋" w:hint="eastAsia"/>
                <w:color w:val="000000"/>
                <w:szCs w:val="21"/>
              </w:rPr>
              <w:t>官方微信号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刊登了</w:t>
            </w:r>
            <w:r w:rsidR="00AB5E1B">
              <w:rPr>
                <w:rFonts w:ascii="仿宋" w:eastAsia="仿宋" w:hAnsi="仿宋" w:hint="eastAsia"/>
                <w:color w:val="000000"/>
                <w:szCs w:val="21"/>
              </w:rPr>
              <w:t>一条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“2022年1月1日草甘膦将退出丽水市农药市场”的消息，该消息</w:t>
            </w:r>
            <w:r w:rsidR="005746FC">
              <w:rPr>
                <w:rFonts w:ascii="仿宋" w:eastAsia="仿宋" w:hAnsi="仿宋" w:hint="eastAsia"/>
                <w:color w:val="000000"/>
                <w:szCs w:val="21"/>
              </w:rPr>
              <w:t>引发了</w:t>
            </w:r>
            <w:r w:rsidR="00AB5E1B">
              <w:rPr>
                <w:rFonts w:ascii="仿宋" w:eastAsia="仿宋" w:hAnsi="仿宋" w:hint="eastAsia"/>
                <w:color w:val="000000"/>
                <w:szCs w:val="21"/>
              </w:rPr>
              <w:t>读者的热议。一些读者赞同这类做法，认为草甘膦对环境和人体健康有害，应该全面禁止。然而一些读者则持有反对意见，他们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对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禁止后</w:t>
            </w:r>
            <w:r w:rsidR="00AB5E1B">
              <w:rPr>
                <w:rFonts w:ascii="仿宋" w:eastAsia="仿宋" w:hAnsi="仿宋" w:hint="eastAsia"/>
                <w:color w:val="000000"/>
                <w:szCs w:val="21"/>
              </w:rPr>
              <w:t>农民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 w:rsidR="00AB5E1B">
              <w:rPr>
                <w:rFonts w:ascii="仿宋" w:eastAsia="仿宋" w:hAnsi="仿宋" w:hint="eastAsia"/>
                <w:color w:val="000000"/>
                <w:szCs w:val="21"/>
              </w:rPr>
              <w:t>除草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效率表示担忧</w:t>
            </w:r>
            <w:r w:rsidR="00AB5E1B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5746FC">
              <w:rPr>
                <w:rFonts w:ascii="仿宋" w:eastAsia="仿宋" w:hAnsi="仿宋" w:hint="eastAsia"/>
                <w:color w:val="000000"/>
                <w:szCs w:val="21"/>
              </w:rPr>
              <w:t>认为</w:t>
            </w:r>
            <w:r w:rsidR="00AB5E1B">
              <w:rPr>
                <w:rFonts w:ascii="仿宋" w:eastAsia="仿宋" w:hAnsi="仿宋" w:hint="eastAsia"/>
                <w:color w:val="000000"/>
                <w:szCs w:val="21"/>
              </w:rPr>
              <w:t>并不</w:t>
            </w:r>
            <w:r w:rsidR="005746FC">
              <w:rPr>
                <w:rFonts w:ascii="仿宋" w:eastAsia="仿宋" w:hAnsi="仿宋" w:hint="eastAsia"/>
                <w:color w:val="000000"/>
                <w:szCs w:val="21"/>
              </w:rPr>
              <w:t>利于农业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高效</w:t>
            </w:r>
            <w:r w:rsidR="005746FC">
              <w:rPr>
                <w:rFonts w:ascii="仿宋" w:eastAsia="仿宋" w:hAnsi="仿宋" w:hint="eastAsia"/>
                <w:color w:val="000000"/>
                <w:szCs w:val="21"/>
              </w:rPr>
              <w:t>生产。</w:t>
            </w:r>
          </w:p>
          <w:p w:rsidR="009C03EF" w:rsidRDefault="00AB5E1B" w:rsidP="005746FC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在广泛关注下</w:t>
            </w:r>
            <w:r w:rsidR="005746FC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8B56DD">
              <w:rPr>
                <w:rFonts w:ascii="仿宋" w:eastAsia="仿宋" w:hAnsi="仿宋" w:hint="eastAsia"/>
                <w:color w:val="000000"/>
                <w:szCs w:val="21"/>
              </w:rPr>
              <w:t>作者</w:t>
            </w:r>
            <w:r w:rsidR="002E00E4">
              <w:rPr>
                <w:rFonts w:ascii="仿宋" w:eastAsia="仿宋" w:hAnsi="仿宋" w:hint="eastAsia"/>
                <w:color w:val="000000"/>
                <w:szCs w:val="21"/>
              </w:rPr>
              <w:t>立足于农资行业对该事件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进行</w:t>
            </w:r>
            <w:r w:rsidR="002E00E4">
              <w:rPr>
                <w:rFonts w:ascii="仿宋" w:eastAsia="仿宋" w:hAnsi="仿宋" w:hint="eastAsia"/>
                <w:color w:val="000000"/>
                <w:szCs w:val="21"/>
              </w:rPr>
              <w:t>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跟踪报道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首先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作者全面收集了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读者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观点，</w:t>
            </w:r>
            <w:r w:rsidR="002E00E4">
              <w:rPr>
                <w:rFonts w:ascii="仿宋" w:eastAsia="仿宋" w:hAnsi="仿宋" w:hint="eastAsia"/>
                <w:color w:val="000000"/>
                <w:szCs w:val="21"/>
              </w:rPr>
              <w:t>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进行集纳和总结。然后，根据读者疑问，作者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联系到了发文单位，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针对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发文</w:t>
            </w:r>
            <w:r w:rsidR="008B56DD">
              <w:rPr>
                <w:rFonts w:ascii="仿宋" w:eastAsia="仿宋" w:hAnsi="仿宋" w:hint="eastAsia"/>
                <w:color w:val="000000"/>
                <w:szCs w:val="21"/>
              </w:rPr>
              <w:t>的出发点、未来草甘膦的替代品以及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丽水市在</w:t>
            </w:r>
            <w:r w:rsidR="008B56DD">
              <w:rPr>
                <w:rFonts w:ascii="仿宋" w:eastAsia="仿宋" w:hAnsi="仿宋" w:hint="eastAsia"/>
                <w:color w:val="000000"/>
                <w:szCs w:val="21"/>
              </w:rPr>
              <w:t>农业除草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中的替代方案，</w:t>
            </w:r>
            <w:r w:rsidR="008B56DD">
              <w:rPr>
                <w:rFonts w:ascii="仿宋" w:eastAsia="仿宋" w:hAnsi="仿宋" w:hint="eastAsia"/>
                <w:color w:val="000000"/>
                <w:szCs w:val="21"/>
              </w:rPr>
              <w:t>向相关负责人提问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紧接着，针对读者呼声和政策内容，作者第一时间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联系到了</w:t>
            </w:r>
            <w:r w:rsidR="00FF43A6" w:rsidRPr="00FF43A6">
              <w:rPr>
                <w:rFonts w:ascii="仿宋" w:eastAsia="仿宋" w:hAnsi="仿宋" w:hint="eastAsia"/>
                <w:color w:val="000000"/>
                <w:szCs w:val="21"/>
              </w:rPr>
              <w:t>中国农药工业协会常务副会长兼秘书长李钟华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，采访中国农药工业协会对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该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事件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的看法。同时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，作者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还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采访了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国内</w:t>
            </w:r>
            <w:r w:rsidR="002E00E4">
              <w:rPr>
                <w:rFonts w:ascii="仿宋" w:eastAsia="仿宋" w:hAnsi="仿宋" w:hint="eastAsia"/>
                <w:color w:val="000000"/>
                <w:szCs w:val="21"/>
              </w:rPr>
              <w:t>知名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草甘膦企业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，探究企业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在草甘膦安全除草中的突破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。最后作者全面整理调查线索，将事件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成文，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客观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地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呈现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给读者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9C03EF" w:rsidRPr="00556FA8" w:rsidRDefault="00846A47" w:rsidP="00846A47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该消息在《农资导报》报纸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刊登后，同步在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《农资导报》</w:t>
            </w:r>
            <w:r w:rsidR="00FF43A6">
              <w:rPr>
                <w:rFonts w:ascii="仿宋" w:eastAsia="仿宋" w:hAnsi="仿宋" w:hint="eastAsia"/>
                <w:color w:val="000000"/>
                <w:szCs w:val="21"/>
              </w:rPr>
              <w:t>官方微信号进行传播，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同时</w:t>
            </w:r>
            <w:r w:rsidR="002E00E4">
              <w:rPr>
                <w:rFonts w:ascii="仿宋" w:eastAsia="仿宋" w:hAnsi="仿宋" w:hint="eastAsia"/>
                <w:color w:val="000000"/>
                <w:szCs w:val="21"/>
              </w:rPr>
              <w:t>，被</w:t>
            </w:r>
            <w:r w:rsidR="00900EBF">
              <w:rPr>
                <w:rFonts w:ascii="仿宋" w:eastAsia="仿宋" w:hAnsi="仿宋" w:hint="eastAsia"/>
                <w:color w:val="000000"/>
                <w:szCs w:val="21"/>
              </w:rPr>
              <w:t>农资相关</w:t>
            </w:r>
            <w:r w:rsidR="002E00E4">
              <w:rPr>
                <w:rFonts w:ascii="仿宋" w:eastAsia="仿宋" w:hAnsi="仿宋" w:hint="eastAsia"/>
                <w:color w:val="000000"/>
                <w:szCs w:val="21"/>
              </w:rPr>
              <w:t>媒体转载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引起行业广泛关注。</w:t>
            </w:r>
          </w:p>
        </w:tc>
      </w:tr>
      <w:tr w:rsidR="009C03EF" w:rsidRPr="00644AC0" w:rsidTr="00137AD5">
        <w:trPr>
          <w:cantSplit/>
          <w:trHeight w:hRule="exact" w:val="1984"/>
        </w:trPr>
        <w:tc>
          <w:tcPr>
            <w:tcW w:w="1101" w:type="dxa"/>
            <w:vAlign w:val="center"/>
          </w:tcPr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646" w:type="dxa"/>
            <w:gridSpan w:val="7"/>
          </w:tcPr>
          <w:p w:rsidR="009C03EF" w:rsidRPr="00644AC0" w:rsidRDefault="00367E87" w:rsidP="00B62D76">
            <w:pPr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作者潜心采写的这篇消息取得了良好的社会效果。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草甘膦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是通过农业农村部</w:t>
            </w:r>
            <w:r w:rsidRPr="00367E87">
              <w:rPr>
                <w:rFonts w:ascii="仿宋" w:eastAsia="仿宋" w:hAnsi="仿宋" w:hint="eastAsia"/>
                <w:color w:val="000000"/>
                <w:szCs w:val="21"/>
              </w:rPr>
              <w:t>正式登记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的产品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，这就代表其在全国范围内是适用的。一些</w:t>
            </w:r>
            <w:r w:rsidR="00400390">
              <w:rPr>
                <w:rFonts w:ascii="仿宋" w:eastAsia="仿宋" w:hAnsi="仿宋" w:hint="eastAsia"/>
                <w:color w:val="000000"/>
                <w:szCs w:val="21"/>
              </w:rPr>
              <w:t>地区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针对</w:t>
            </w:r>
            <w:r w:rsidRPr="00367E87">
              <w:rPr>
                <w:rFonts w:ascii="仿宋" w:eastAsia="仿宋" w:hAnsi="仿宋" w:hint="eastAsia"/>
                <w:color w:val="000000"/>
                <w:szCs w:val="21"/>
              </w:rPr>
              <w:t>当地实际出台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禁用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草甘膦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的规定</w:t>
            </w:r>
            <w:r w:rsidR="00400390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可以理解的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但是</w:t>
            </w:r>
            <w:r w:rsidR="00D06FC9">
              <w:rPr>
                <w:rFonts w:ascii="仿宋" w:eastAsia="仿宋" w:hAnsi="仿宋" w:hint="eastAsia"/>
                <w:color w:val="000000"/>
                <w:szCs w:val="21"/>
              </w:rPr>
              <w:t>不免会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有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一些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相关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人员短时间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内</w:t>
            </w:r>
            <w:r w:rsidR="00846A47">
              <w:rPr>
                <w:rFonts w:ascii="仿宋" w:eastAsia="仿宋" w:hAnsi="仿宋" w:hint="eastAsia"/>
                <w:color w:val="000000"/>
                <w:szCs w:val="21"/>
              </w:rPr>
              <w:t>难以接受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和认同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便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会提出质疑。同时，如果各地均效仿该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类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做法，对农药登记政策也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同样是</w:t>
            </w:r>
            <w:r w:rsidR="00556FA8" w:rsidRPr="00367E87">
              <w:rPr>
                <w:rFonts w:ascii="仿宋" w:eastAsia="仿宋" w:hAnsi="仿宋" w:hint="eastAsia"/>
                <w:color w:val="000000"/>
                <w:szCs w:val="21"/>
              </w:rPr>
              <w:t>一个挑战。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作者通过系列采访，一方面向行业呈现了各方人士对于该事件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的看法</w:t>
            </w:r>
            <w:r w:rsidR="00556FA8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对于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公众正确认识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草甘膦具有重要的作用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  <w:r w:rsidR="00351135">
              <w:rPr>
                <w:rFonts w:ascii="仿宋" w:eastAsia="仿宋" w:hAnsi="仿宋" w:hint="eastAsia"/>
                <w:color w:val="000000"/>
                <w:szCs w:val="21"/>
              </w:rPr>
              <w:t>另一方面，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对于其他地区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相关政策</w:t>
            </w:r>
            <w:r w:rsidR="004B5B1C">
              <w:rPr>
                <w:rFonts w:ascii="仿宋" w:eastAsia="仿宋" w:hAnsi="仿宋" w:hint="eastAsia"/>
                <w:color w:val="000000"/>
                <w:szCs w:val="21"/>
              </w:rPr>
              <w:t>的制定也提供了一定的参考，具有良好的社会价值。</w:t>
            </w:r>
            <w:bookmarkStart w:id="0" w:name="_GoBack"/>
            <w:bookmarkEnd w:id="0"/>
          </w:p>
        </w:tc>
      </w:tr>
      <w:tr w:rsidR="009C03EF" w:rsidRPr="00644AC0" w:rsidTr="00887F97">
        <w:trPr>
          <w:cantSplit/>
          <w:trHeight w:hRule="exact" w:val="216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9C03EF" w:rsidRPr="00644AC0" w:rsidRDefault="009C03EF" w:rsidP="00887F9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9C03EF" w:rsidRPr="00644AC0" w:rsidRDefault="009C03EF" w:rsidP="00887F97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︶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</w:tcPr>
          <w:p w:rsidR="009C03EF" w:rsidRPr="00644AC0" w:rsidRDefault="008F0C71" w:rsidP="008F0C71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  <w:r w:rsidR="00430F4F">
              <w:rPr>
                <w:rFonts w:ascii="仿宋" w:eastAsia="仿宋" w:hAnsi="仿宋" w:hint="eastAsia"/>
                <w:color w:val="000000"/>
                <w:szCs w:val="21"/>
              </w:rPr>
              <w:t>这是一篇很贴近行业的消息。文章通过采访发文单位和行业协会等相关方，对行业热点事件进行客观理性的报道，有助于</w:t>
            </w:r>
            <w:r w:rsidR="00203C6F">
              <w:rPr>
                <w:rFonts w:ascii="仿宋" w:eastAsia="仿宋" w:hAnsi="仿宋" w:hint="eastAsia"/>
                <w:color w:val="000000"/>
                <w:szCs w:val="21"/>
              </w:rPr>
              <w:t>全面准确了解草甘膦的现状，避免跟风效仿起到积极的作用。同意推荐参评。</w:t>
            </w:r>
          </w:p>
          <w:p w:rsidR="009C03EF" w:rsidRPr="00644AC0" w:rsidRDefault="009C03EF" w:rsidP="00887F97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>签名：</w:t>
            </w:r>
          </w:p>
          <w:p w:rsidR="009C03EF" w:rsidRPr="00644AC0" w:rsidRDefault="009C03EF" w:rsidP="00887F97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color w:val="000000"/>
                <w:sz w:val="28"/>
              </w:rPr>
            </w:pP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9C03EF" w:rsidRPr="00644AC0" w:rsidRDefault="009C03EF" w:rsidP="008F0C71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                                    </w:t>
            </w:r>
            <w:r w:rsidRPr="00644AC0"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22</w:t>
            </w:r>
            <w:r w:rsidRPr="00644AC0">
              <w:rPr>
                <w:rFonts w:ascii="华文中宋" w:eastAsia="华文中宋" w:hAnsi="华文中宋"/>
                <w:color w:val="000000"/>
                <w:sz w:val="28"/>
              </w:rPr>
              <w:t>年</w:t>
            </w:r>
            <w:r w:rsidR="008F0C71">
              <w:rPr>
                <w:rFonts w:ascii="华文中宋" w:eastAsia="华文中宋" w:hAnsi="华文中宋" w:hint="eastAsia"/>
                <w:color w:val="000000"/>
                <w:sz w:val="28"/>
              </w:rPr>
              <w:t>5</w:t>
            </w: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 w:rsidR="008F0C71">
              <w:rPr>
                <w:rFonts w:ascii="华文中宋" w:eastAsia="华文中宋" w:hAnsi="华文中宋" w:hint="eastAsia"/>
                <w:color w:val="000000"/>
                <w:sz w:val="28"/>
              </w:rPr>
              <w:t>16</w:t>
            </w:r>
            <w:r w:rsidRPr="00644AC0"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8D6B21" w:rsidRPr="009C03EF" w:rsidRDefault="008D6B21"/>
    <w:sectPr w:rsidR="008D6B21" w:rsidRPr="009C03EF" w:rsidSect="00072946">
      <w:footerReference w:type="default" r:id="rId6"/>
      <w:pgSz w:w="11906" w:h="16838"/>
      <w:pgMar w:top="1701" w:right="1418" w:bottom="1361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21" w:rsidRDefault="00EC2A21" w:rsidP="00B12D50">
      <w:r>
        <w:separator/>
      </w:r>
    </w:p>
  </w:endnote>
  <w:endnote w:type="continuationSeparator" w:id="0">
    <w:p w:rsidR="00EC2A21" w:rsidRDefault="00EC2A21" w:rsidP="00B1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3D" w:rsidRDefault="007003E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-223.9pt;margin-top:0;width:4.55pt;height:10.35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Dry0cPIgIAAB0EAAAOAAAAAAAAAAAAAAAAAC4CAABkcnMvZTJvRG9jLnhtbFBL&#10;AQItABQABgAIAAAAIQAh0ysg2wAAAAI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F9003D" w:rsidRDefault="007003E3">
                <w:pPr>
                  <w:pStyle w:val="a3"/>
                </w:pPr>
                <w:r>
                  <w:fldChar w:fldCharType="begin"/>
                </w:r>
                <w:r w:rsidR="00344B62">
                  <w:instrText xml:space="preserve"> PAGE  \* MERGEFORMAT </w:instrText>
                </w:r>
                <w:r>
                  <w:fldChar w:fldCharType="separate"/>
                </w:r>
                <w:r w:rsidR="008F0C7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21" w:rsidRDefault="00EC2A21" w:rsidP="00B12D50">
      <w:r>
        <w:separator/>
      </w:r>
    </w:p>
  </w:footnote>
  <w:footnote w:type="continuationSeparator" w:id="0">
    <w:p w:rsidR="00EC2A21" w:rsidRDefault="00EC2A21" w:rsidP="00B12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3EF"/>
    <w:rsid w:val="000560A2"/>
    <w:rsid w:val="000F28DB"/>
    <w:rsid w:val="00137AD5"/>
    <w:rsid w:val="001A0B8D"/>
    <w:rsid w:val="00203C6F"/>
    <w:rsid w:val="002E00E4"/>
    <w:rsid w:val="0032024A"/>
    <w:rsid w:val="00344B62"/>
    <w:rsid w:val="00351135"/>
    <w:rsid w:val="00367E87"/>
    <w:rsid w:val="003A60A2"/>
    <w:rsid w:val="00400390"/>
    <w:rsid w:val="00427663"/>
    <w:rsid w:val="00430F4F"/>
    <w:rsid w:val="004A7CC9"/>
    <w:rsid w:val="004B5B1C"/>
    <w:rsid w:val="004D2E5A"/>
    <w:rsid w:val="005234BC"/>
    <w:rsid w:val="00556FA8"/>
    <w:rsid w:val="005746FC"/>
    <w:rsid w:val="005A6359"/>
    <w:rsid w:val="006E3295"/>
    <w:rsid w:val="007003E3"/>
    <w:rsid w:val="007F2A2A"/>
    <w:rsid w:val="00846A47"/>
    <w:rsid w:val="008A7FEA"/>
    <w:rsid w:val="008B56DD"/>
    <w:rsid w:val="008C470E"/>
    <w:rsid w:val="008D6B21"/>
    <w:rsid w:val="008F0C71"/>
    <w:rsid w:val="008F25FE"/>
    <w:rsid w:val="00900EBF"/>
    <w:rsid w:val="009C03EF"/>
    <w:rsid w:val="00A13A4C"/>
    <w:rsid w:val="00AB5E1B"/>
    <w:rsid w:val="00B12D50"/>
    <w:rsid w:val="00B24432"/>
    <w:rsid w:val="00B62D76"/>
    <w:rsid w:val="00BF4CBA"/>
    <w:rsid w:val="00D06FC9"/>
    <w:rsid w:val="00EC2A21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qFormat/>
    <w:rsid w:val="009C03E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qFormat/>
    <w:rsid w:val="009C03EF"/>
    <w:rPr>
      <w:rFonts w:ascii="Times New Roman" w:eastAsia="宋体" w:hAnsi="Times New Roman" w:cs="Times New Roman"/>
      <w:sz w:val="16"/>
      <w:szCs w:val="16"/>
    </w:rPr>
  </w:style>
  <w:style w:type="paragraph" w:styleId="a3">
    <w:name w:val="footer"/>
    <w:basedOn w:val="a"/>
    <w:link w:val="Char"/>
    <w:uiPriority w:val="99"/>
    <w:unhideWhenUsed/>
    <w:qFormat/>
    <w:rsid w:val="009C0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03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9C0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C03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qFormat/>
    <w:rsid w:val="009C03E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qFormat/>
    <w:rsid w:val="009C03EF"/>
    <w:rPr>
      <w:rFonts w:ascii="Times New Roman" w:eastAsia="宋体" w:hAnsi="Times New Roman" w:cs="Times New Roman"/>
      <w:sz w:val="16"/>
      <w:szCs w:val="16"/>
    </w:rPr>
  </w:style>
  <w:style w:type="paragraph" w:styleId="a3">
    <w:name w:val="footer"/>
    <w:basedOn w:val="a"/>
    <w:link w:val="Char"/>
    <w:uiPriority w:val="99"/>
    <w:unhideWhenUsed/>
    <w:qFormat/>
    <w:rsid w:val="009C0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03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9C0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C03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cgx</dc:creator>
  <cp:lastModifiedBy>cj</cp:lastModifiedBy>
  <cp:revision>8</cp:revision>
  <dcterms:created xsi:type="dcterms:W3CDTF">2022-05-11T14:16:00Z</dcterms:created>
  <dcterms:modified xsi:type="dcterms:W3CDTF">2022-05-13T07:20:00Z</dcterms:modified>
</cp:coreProperties>
</file>